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CF0AA7"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sidR="001448E4">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F624E2">
        <w:rPr>
          <w:b/>
        </w:rPr>
        <w:t>NO</w:t>
      </w:r>
    </w:p>
    <w:p w:rsidR="00BC4466" w:rsidRDefault="00BC4466" w:rsidP="00CF1133">
      <w:pPr>
        <w:spacing w:after="0" w:line="256" w:lineRule="auto"/>
        <w:ind w:left="0" w:firstLine="0"/>
      </w:pPr>
    </w:p>
    <w:p w:rsidR="00A3358A" w:rsidRDefault="00D61810" w:rsidP="00A3358A">
      <w:fldSimple w:instr=" DOCPROPERTY  MeetingDate  \* MERGEFORMAT ">
        <w:r w:rsidR="001448E4">
          <w:t>Wednesday, 30 November 2016</w:t>
        </w:r>
      </w:fldSimple>
    </w:p>
    <w:p w:rsidR="00A3358A" w:rsidRDefault="00A3358A" w:rsidP="00A3358A"/>
    <w:p w:rsidR="00A3358A" w:rsidRDefault="00733B17"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sidR="001448E4">
        <w:rPr>
          <w:b/>
        </w:rPr>
        <w:t>Lancashire 'Moving On' Project: Performance and Progress</w:t>
      </w:r>
      <w:r>
        <w:rPr>
          <w:b/>
        </w:rPr>
        <w:fldChar w:fldCharType="end"/>
      </w:r>
    </w:p>
    <w:p w:rsidR="00D7480F" w:rsidRDefault="00D7480F" w:rsidP="00CF1133">
      <w:pPr>
        <w:spacing w:after="0" w:line="256" w:lineRule="auto"/>
        <w:ind w:left="0" w:firstLine="0"/>
      </w:pPr>
    </w:p>
    <w:p w:rsidR="00F624E2" w:rsidRDefault="00F41096" w:rsidP="00F624E2">
      <w:pPr>
        <w:spacing w:line="250" w:lineRule="auto"/>
        <w:ind w:left="-17" w:firstLine="0"/>
        <w:rPr>
          <w:rFonts w:eastAsia="Times New Roman"/>
        </w:rPr>
      </w:pPr>
      <w:r w:rsidRPr="00F41096">
        <w:rPr>
          <w:b/>
        </w:rPr>
        <w:t>Report Author</w:t>
      </w:r>
      <w:r w:rsidR="00F624E2">
        <w:rPr>
          <w:b/>
        </w:rPr>
        <w:t>s</w:t>
      </w:r>
      <w:r w:rsidRPr="00F41096">
        <w:rPr>
          <w:b/>
        </w:rPr>
        <w:t>:</w:t>
      </w:r>
      <w:r w:rsidR="001B0058">
        <w:rPr>
          <w:b/>
        </w:rPr>
        <w:t xml:space="preserve"> </w:t>
      </w:r>
      <w:r w:rsidR="00F624E2">
        <w:t xml:space="preserve">Joan Costello-Smith, Head of Externally Funded Programmes, Preston's College, </w:t>
      </w:r>
      <w:hyperlink r:id="rId8" w:history="1">
        <w:r w:rsidR="00F624E2" w:rsidRPr="00B972B8">
          <w:rPr>
            <w:rStyle w:val="Hyperlink"/>
          </w:rPr>
          <w:t>jcostello-</w:t>
        </w:r>
        <w:r w:rsidR="00F624E2" w:rsidRPr="00B972B8">
          <w:rPr>
            <w:rStyle w:val="Hyperlink"/>
            <w:rFonts w:eastAsia="Times New Roman"/>
          </w:rPr>
          <w:t>smith@preston.ac.uk</w:t>
        </w:r>
      </w:hyperlink>
      <w:r w:rsidR="00F624E2">
        <w:rPr>
          <w:rStyle w:val="Hyperlink"/>
          <w:rFonts w:eastAsia="Times New Roman"/>
          <w:u w:val="none"/>
        </w:rPr>
        <w:t xml:space="preserve">  </w:t>
      </w:r>
      <w:r w:rsidR="00F624E2" w:rsidRPr="00F624E2">
        <w:rPr>
          <w:rStyle w:val="Hyperlink"/>
          <w:rFonts w:eastAsia="Times New Roman"/>
          <w:color w:val="auto"/>
          <w:u w:val="none"/>
        </w:rPr>
        <w:t>&amp;</w:t>
      </w:r>
      <w:r w:rsidR="00F624E2">
        <w:rPr>
          <w:rStyle w:val="Hyperlink"/>
          <w:rFonts w:eastAsia="Times New Roman"/>
          <w:u w:val="none"/>
        </w:rPr>
        <w:t xml:space="preserve"> </w:t>
      </w:r>
      <w:r w:rsidR="00F624E2" w:rsidRPr="006C5A03">
        <w:t xml:space="preserve">Darren </w:t>
      </w:r>
      <w:proofErr w:type="spellStart"/>
      <w:r w:rsidR="00F624E2" w:rsidRPr="006C5A03">
        <w:t>Kellett</w:t>
      </w:r>
      <w:proofErr w:type="spellEnd"/>
      <w:r w:rsidR="00F624E2">
        <w:t xml:space="preserve">, </w:t>
      </w:r>
      <w:r w:rsidR="00F624E2" w:rsidRPr="006C5A03">
        <w:t>Performance</w:t>
      </w:r>
      <w:r w:rsidR="00F624E2">
        <w:t xml:space="preserve"> and Quality Co-ordinator,</w:t>
      </w:r>
      <w:r w:rsidR="00F624E2" w:rsidRPr="00F624E2">
        <w:rPr>
          <w:rFonts w:eastAsia="Times New Roman"/>
        </w:rPr>
        <w:t xml:space="preserve"> </w:t>
      </w:r>
      <w:hyperlink r:id="rId9" w:history="1">
        <w:r w:rsidR="00F624E2" w:rsidRPr="0095048E">
          <w:rPr>
            <w:rStyle w:val="Hyperlink"/>
            <w:rFonts w:eastAsia="Times New Roman"/>
          </w:rPr>
          <w:t>dkellett@preston.ac.uk</w:t>
        </w:r>
      </w:hyperlink>
      <w:r w:rsidR="00F624E2">
        <w:rPr>
          <w:rStyle w:val="Hyperlink"/>
          <w:rFonts w:eastAsia="Times New Roman"/>
        </w:rPr>
        <w:t xml:space="preserve"> </w:t>
      </w:r>
    </w:p>
    <w:p w:rsidR="00F624E2" w:rsidRPr="002B3CC5" w:rsidRDefault="00F624E2" w:rsidP="00F624E2">
      <w:pPr>
        <w:ind w:right="-873"/>
        <w:rPr>
          <w:b/>
        </w:rPr>
      </w:pPr>
    </w:p>
    <w:p w:rsidR="002B3CC5" w:rsidRDefault="00F624E2" w:rsidP="00F624E2">
      <w:pPr>
        <w:spacing w:line="250" w:lineRule="auto"/>
        <w:ind w:left="-17" w:firstLine="0"/>
        <w:rPr>
          <w:b/>
        </w:rPr>
      </w:pPr>
      <w:r>
        <w:t xml:space="preserve"> </w:t>
      </w:r>
      <w:r>
        <w:rPr>
          <w:b/>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B5354">
        <w:tc>
          <w:tcPr>
            <w:tcW w:w="9180" w:type="dxa"/>
          </w:tcPr>
          <w:p w:rsidR="002B3CC5" w:rsidRDefault="002B3CC5" w:rsidP="00841251">
            <w:pPr>
              <w:pStyle w:val="Header"/>
            </w:pPr>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2B3CC5" w:rsidRPr="002B3CC5" w:rsidRDefault="002B3CC5" w:rsidP="00841251">
            <w:pPr>
              <w:rPr>
                <w:color w:val="auto"/>
              </w:rPr>
            </w:pPr>
          </w:p>
          <w:p w:rsidR="00F624E2" w:rsidRDefault="00F624E2" w:rsidP="00F624E2">
            <w:pPr>
              <w:spacing w:line="250" w:lineRule="auto"/>
              <w:ind w:left="0" w:firstLine="0"/>
              <w:jc w:val="both"/>
            </w:pPr>
            <w:r w:rsidRPr="00DD066F">
              <w:t xml:space="preserve">The project is performing well </w:t>
            </w:r>
            <w:r>
              <w:t xml:space="preserve">at grass roots level </w:t>
            </w:r>
            <w:r w:rsidRPr="00DD066F">
              <w:t xml:space="preserve">in terms of delivery across Lancashire with a range of partners </w:t>
            </w:r>
            <w:r>
              <w:t xml:space="preserve">delivering predominantly to fully NEET 16-18 year olds and offering innovative models which lead to successful outcomes for participants. Case Studies are provided to add detail to the volumes and values reported. </w:t>
            </w:r>
          </w:p>
          <w:p w:rsidR="00F624E2" w:rsidRDefault="00F624E2" w:rsidP="00F624E2">
            <w:pPr>
              <w:spacing w:line="250" w:lineRule="auto"/>
              <w:ind w:left="0" w:firstLine="0"/>
              <w:jc w:val="both"/>
            </w:pPr>
          </w:p>
          <w:p w:rsidR="00F624E2" w:rsidRDefault="00F624E2" w:rsidP="00F624E2">
            <w:pPr>
              <w:spacing w:line="250" w:lineRule="auto"/>
              <w:ind w:left="0" w:firstLine="0"/>
              <w:jc w:val="both"/>
            </w:pPr>
            <w:r>
              <w:t>There is an issue around the level of claims against profile. Contextual information would indicate that this is not due to actual under delivery of eligible activity, but is caused by the 3-4 month delay between delivery on the ground and associated data inclusion in the LAB ILR. This is predominantly due to difficulties around partners’ timely collection and collation of the SFA evidence requirements in line with ESF audit requirements, and the complexity of the project payment model.</w:t>
            </w:r>
          </w:p>
          <w:p w:rsidR="00D61810" w:rsidRDefault="00D61810" w:rsidP="00F624E2">
            <w:pPr>
              <w:spacing w:line="250" w:lineRule="auto"/>
              <w:ind w:left="0" w:firstLine="0"/>
              <w:jc w:val="both"/>
            </w:pPr>
          </w:p>
          <w:p w:rsidR="00D61810" w:rsidRDefault="00D61810" w:rsidP="00F624E2">
            <w:pPr>
              <w:spacing w:line="250" w:lineRule="auto"/>
              <w:ind w:left="0" w:firstLine="0"/>
              <w:jc w:val="both"/>
            </w:pPr>
            <w:r>
              <w:t>To note, a presentation will be provided at the committee meeting.</w:t>
            </w:r>
          </w:p>
          <w:p w:rsidR="002B3CC5" w:rsidRPr="002B3CC5" w:rsidRDefault="002B3CC5"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841251">
            <w:pPr>
              <w:rPr>
                <w:color w:val="auto"/>
              </w:rPr>
            </w:pPr>
          </w:p>
          <w:p w:rsidR="00F624E2" w:rsidRDefault="00F624E2" w:rsidP="00F624E2">
            <w:pPr>
              <w:spacing w:line="250" w:lineRule="auto"/>
              <w:ind w:left="0" w:firstLine="0"/>
              <w:jc w:val="both"/>
            </w:pPr>
            <w:r w:rsidRPr="00984534">
              <w:t xml:space="preserve">That the Board </w:t>
            </w:r>
            <w:r>
              <w:t>considers and notes this report, and agrees the content of the two plans:</w:t>
            </w:r>
          </w:p>
          <w:p w:rsidR="00F624E2" w:rsidRPr="002564CD" w:rsidRDefault="00F624E2" w:rsidP="00F624E2">
            <w:pPr>
              <w:pStyle w:val="ListParagraph"/>
              <w:numPr>
                <w:ilvl w:val="0"/>
                <w:numId w:val="4"/>
              </w:numPr>
              <w:spacing w:after="160" w:line="259" w:lineRule="auto"/>
              <w:jc w:val="both"/>
            </w:pPr>
            <w:r w:rsidRPr="002564CD">
              <w:t xml:space="preserve">Claims Improvement </w:t>
            </w:r>
          </w:p>
          <w:p w:rsidR="00F624E2" w:rsidRPr="002564CD" w:rsidRDefault="00F624E2" w:rsidP="00F624E2">
            <w:pPr>
              <w:pStyle w:val="ListParagraph"/>
              <w:numPr>
                <w:ilvl w:val="0"/>
                <w:numId w:val="4"/>
              </w:numPr>
              <w:spacing w:after="160" w:line="259" w:lineRule="auto"/>
              <w:jc w:val="both"/>
            </w:pPr>
            <w:r>
              <w:t xml:space="preserve">Areas for Improvement </w:t>
            </w:r>
          </w:p>
          <w:p w:rsidR="002B3CC5" w:rsidRPr="002B3CC5" w:rsidRDefault="00305E85" w:rsidP="00F624E2">
            <w:pPr>
              <w:spacing w:line="250" w:lineRule="auto"/>
              <w:ind w:left="0" w:firstLine="0"/>
              <w:rPr>
                <w:color w:val="auto"/>
              </w:rPr>
            </w:pPr>
            <w:proofErr w:type="gramStart"/>
            <w:r>
              <w:t>a</w:t>
            </w:r>
            <w:r w:rsidR="00F624E2">
              <w:t>nd</w:t>
            </w:r>
            <w:proofErr w:type="gramEnd"/>
            <w:r w:rsidR="00F624E2">
              <w:t xml:space="preserve"> notes our intention to provide an interim report offering Impact Analysis of the likely outturn scenarios at the 6 month Performance Management Point, generated in line with the additional clarity sought from the SFA around this process.</w:t>
            </w:r>
          </w:p>
          <w:p w:rsidR="002B3CC5" w:rsidRDefault="002B3CC5" w:rsidP="00841251"/>
        </w:tc>
      </w:tr>
    </w:tbl>
    <w:p w:rsidR="002B3CC5" w:rsidRDefault="002B3CC5" w:rsidP="002B3CC5">
      <w:pPr>
        <w:pStyle w:val="Header"/>
      </w:pPr>
    </w:p>
    <w:p w:rsidR="00D61810" w:rsidRDefault="00D61810" w:rsidP="002B3CC5">
      <w:pPr>
        <w:pStyle w:val="Header"/>
      </w:pPr>
    </w:p>
    <w:p w:rsidR="00D61810" w:rsidRDefault="00D61810" w:rsidP="002B3CC5">
      <w:pPr>
        <w:pStyle w:val="Header"/>
      </w:pPr>
    </w:p>
    <w:p w:rsidR="00F573DB" w:rsidRPr="00F573DB" w:rsidRDefault="00F573DB" w:rsidP="00F573DB">
      <w:pPr>
        <w:numPr>
          <w:ilvl w:val="0"/>
          <w:numId w:val="7"/>
        </w:numPr>
        <w:spacing w:after="0" w:line="240" w:lineRule="auto"/>
        <w:ind w:hanging="720"/>
        <w:jc w:val="both"/>
        <w:rPr>
          <w:rFonts w:eastAsiaTheme="minorHAnsi"/>
          <w:b/>
          <w:color w:val="auto"/>
          <w:sz w:val="22"/>
          <w:szCs w:val="22"/>
          <w:lang w:eastAsia="en-US"/>
        </w:rPr>
      </w:pPr>
      <w:r w:rsidRPr="00F573DB">
        <w:rPr>
          <w:rFonts w:eastAsiaTheme="minorHAnsi"/>
          <w:b/>
          <w:color w:val="auto"/>
          <w:sz w:val="22"/>
          <w:szCs w:val="22"/>
          <w:lang w:eastAsia="en-US"/>
        </w:rPr>
        <w:lastRenderedPageBreak/>
        <w:t>Claims Process</w:t>
      </w:r>
    </w:p>
    <w:p w:rsidR="00F573DB" w:rsidRPr="00F573DB" w:rsidRDefault="00F573DB" w:rsidP="00F573DB">
      <w:pPr>
        <w:spacing w:after="0" w:line="240" w:lineRule="auto"/>
        <w:ind w:left="0" w:firstLine="0"/>
        <w:jc w:val="both"/>
        <w:rPr>
          <w:rFonts w:eastAsiaTheme="minorHAnsi"/>
          <w:color w:val="auto"/>
          <w:sz w:val="22"/>
          <w:szCs w:val="22"/>
          <w:lang w:eastAsia="en-US"/>
        </w:rPr>
      </w:pPr>
    </w:p>
    <w:p w:rsidR="00F573DB" w:rsidRPr="00F573DB" w:rsidRDefault="00F573DB" w:rsidP="00F573DB">
      <w:pPr>
        <w:spacing w:after="0" w:line="240" w:lineRule="auto"/>
        <w:ind w:left="0" w:firstLine="0"/>
        <w:jc w:val="both"/>
        <w:rPr>
          <w:rFonts w:eastAsiaTheme="minorHAnsi"/>
          <w:color w:val="auto"/>
          <w:sz w:val="22"/>
          <w:szCs w:val="22"/>
          <w:lang w:eastAsia="en-US"/>
        </w:rPr>
      </w:pPr>
      <w:r w:rsidRPr="00F573DB">
        <w:rPr>
          <w:rFonts w:eastAsiaTheme="minorHAnsi"/>
          <w:color w:val="auto"/>
          <w:sz w:val="22"/>
          <w:szCs w:val="22"/>
          <w:lang w:eastAsia="en-US"/>
        </w:rPr>
        <w:t xml:space="preserve">ESF 'Moving On' (NEET) is a Payment by Deliverables project. There is no separate capacity building funding – the amount identified for this can only be earned through delivered activity. All activity must be fully evidenced against specific deliverables in order to generate payments. (See detail of previous report). As the Skills Funding Agency (SFA) is adopting a zero tolerance approach to compliance, Preston’s College is undertaking 100% checks of all paper and electronic evidence prior to claim. </w:t>
      </w:r>
    </w:p>
    <w:p w:rsidR="00F573DB" w:rsidRPr="00F573DB" w:rsidRDefault="00F573DB" w:rsidP="00F573DB">
      <w:pPr>
        <w:spacing w:after="0" w:line="240" w:lineRule="auto"/>
        <w:ind w:left="0" w:firstLine="0"/>
        <w:jc w:val="both"/>
        <w:rPr>
          <w:rFonts w:eastAsiaTheme="minorHAnsi"/>
          <w:color w:val="auto"/>
          <w:sz w:val="22"/>
          <w:szCs w:val="22"/>
          <w:lang w:eastAsia="en-US"/>
        </w:rPr>
      </w:pPr>
    </w:p>
    <w:p w:rsidR="00F573DB" w:rsidRPr="00F573DB" w:rsidRDefault="00F573DB" w:rsidP="00F573DB">
      <w:pPr>
        <w:spacing w:after="0" w:line="240" w:lineRule="auto"/>
        <w:ind w:left="0" w:firstLine="0"/>
        <w:jc w:val="both"/>
        <w:rPr>
          <w:rFonts w:eastAsiaTheme="minorHAnsi"/>
          <w:color w:val="auto"/>
          <w:sz w:val="22"/>
          <w:szCs w:val="22"/>
          <w:lang w:eastAsia="en-US"/>
        </w:rPr>
      </w:pPr>
      <w:r w:rsidRPr="00F573DB">
        <w:rPr>
          <w:rFonts w:eastAsiaTheme="minorHAnsi"/>
          <w:color w:val="auto"/>
          <w:sz w:val="22"/>
          <w:szCs w:val="22"/>
          <w:lang w:eastAsia="en-US"/>
        </w:rPr>
        <w:t>Financial claims are generated through a two stage approach:</w:t>
      </w:r>
    </w:p>
    <w:p w:rsidR="00F573DB" w:rsidRPr="00F573DB" w:rsidRDefault="00F573DB" w:rsidP="00F573DB">
      <w:pPr>
        <w:spacing w:after="0" w:line="240" w:lineRule="auto"/>
        <w:ind w:left="0" w:firstLine="0"/>
        <w:jc w:val="both"/>
        <w:rPr>
          <w:rFonts w:eastAsiaTheme="minorHAnsi"/>
          <w:color w:val="auto"/>
          <w:sz w:val="22"/>
          <w:szCs w:val="22"/>
          <w:lang w:eastAsia="en-US"/>
        </w:rPr>
      </w:pPr>
    </w:p>
    <w:p w:rsidR="00F573DB" w:rsidRPr="00F573DB" w:rsidRDefault="00F573DB" w:rsidP="00F573DB">
      <w:pPr>
        <w:numPr>
          <w:ilvl w:val="0"/>
          <w:numId w:val="8"/>
        </w:numPr>
        <w:spacing w:after="0" w:line="240" w:lineRule="auto"/>
        <w:jc w:val="both"/>
        <w:rPr>
          <w:rFonts w:eastAsiaTheme="minorHAnsi"/>
          <w:color w:val="auto"/>
          <w:sz w:val="22"/>
          <w:szCs w:val="22"/>
          <w:lang w:eastAsia="en-US"/>
        </w:rPr>
      </w:pPr>
      <w:r w:rsidRPr="00F573DB">
        <w:rPr>
          <w:rFonts w:eastAsiaTheme="minorHAnsi"/>
          <w:color w:val="auto"/>
          <w:sz w:val="22"/>
          <w:szCs w:val="22"/>
          <w:lang w:eastAsia="en-US"/>
        </w:rPr>
        <w:t>Standardised paperwork submissions for each young person</w:t>
      </w:r>
    </w:p>
    <w:p w:rsidR="00F573DB" w:rsidRPr="00F573DB" w:rsidRDefault="00F573DB" w:rsidP="00F573DB">
      <w:pPr>
        <w:numPr>
          <w:ilvl w:val="0"/>
          <w:numId w:val="8"/>
        </w:numPr>
        <w:spacing w:after="0" w:line="240" w:lineRule="auto"/>
        <w:jc w:val="both"/>
        <w:rPr>
          <w:rFonts w:eastAsiaTheme="minorHAnsi"/>
          <w:color w:val="auto"/>
          <w:sz w:val="22"/>
          <w:szCs w:val="22"/>
          <w:lang w:eastAsia="en-US"/>
        </w:rPr>
      </w:pPr>
      <w:r w:rsidRPr="00F573DB">
        <w:rPr>
          <w:rFonts w:eastAsiaTheme="minorHAnsi"/>
          <w:color w:val="auto"/>
          <w:sz w:val="22"/>
          <w:szCs w:val="22"/>
          <w:lang w:eastAsia="en-US"/>
        </w:rPr>
        <w:t>College MIS data produced on the 4</w:t>
      </w:r>
      <w:r w:rsidRPr="00F573DB">
        <w:rPr>
          <w:rFonts w:eastAsiaTheme="minorHAnsi"/>
          <w:color w:val="auto"/>
          <w:sz w:val="22"/>
          <w:szCs w:val="22"/>
          <w:vertAlign w:val="superscript"/>
          <w:lang w:eastAsia="en-US"/>
        </w:rPr>
        <w:t>th</w:t>
      </w:r>
      <w:r w:rsidRPr="00F573DB">
        <w:rPr>
          <w:rFonts w:eastAsiaTheme="minorHAnsi"/>
          <w:color w:val="auto"/>
          <w:sz w:val="22"/>
          <w:szCs w:val="22"/>
          <w:lang w:eastAsia="en-US"/>
        </w:rPr>
        <w:t xml:space="preserve"> working day of the month through RO reports. (R01 – R14) </w:t>
      </w:r>
    </w:p>
    <w:p w:rsidR="00F573DB" w:rsidRPr="00F573DB" w:rsidRDefault="00F573DB" w:rsidP="00F573DB">
      <w:pPr>
        <w:spacing w:after="0" w:line="240" w:lineRule="auto"/>
        <w:ind w:left="720" w:firstLine="0"/>
        <w:jc w:val="both"/>
        <w:rPr>
          <w:rFonts w:eastAsiaTheme="minorHAnsi"/>
          <w:color w:val="auto"/>
          <w:sz w:val="22"/>
          <w:szCs w:val="22"/>
          <w:lang w:eastAsia="en-US"/>
        </w:rPr>
      </w:pPr>
    </w:p>
    <w:p w:rsidR="00F573DB" w:rsidRPr="00F573DB" w:rsidRDefault="00F573DB" w:rsidP="00F573DB">
      <w:pPr>
        <w:spacing w:after="0" w:line="240" w:lineRule="auto"/>
        <w:ind w:left="0" w:firstLine="0"/>
        <w:jc w:val="both"/>
        <w:rPr>
          <w:rFonts w:eastAsiaTheme="minorHAnsi"/>
          <w:color w:val="auto"/>
          <w:sz w:val="22"/>
          <w:szCs w:val="22"/>
          <w:lang w:eastAsia="en-US"/>
        </w:rPr>
      </w:pPr>
      <w:r w:rsidRPr="00F573DB">
        <w:rPr>
          <w:rFonts w:eastAsiaTheme="minorHAnsi"/>
          <w:color w:val="auto"/>
          <w:sz w:val="22"/>
          <w:szCs w:val="22"/>
          <w:lang w:eastAsia="en-US"/>
        </w:rPr>
        <w:t xml:space="preserve">The SFA uses Management Information System (MIS) data submitted through Preston’s College Individual Learner Record (ILR) as a definitive measure of performance against profile and to calculate provider performance and payments. Bi-monthly paperwork compliance checks are undertaken by the SFA. </w:t>
      </w:r>
    </w:p>
    <w:p w:rsidR="00F573DB" w:rsidRPr="00F573DB" w:rsidRDefault="00F573DB" w:rsidP="00F573DB">
      <w:pPr>
        <w:spacing w:after="0" w:line="240" w:lineRule="auto"/>
        <w:ind w:left="0" w:firstLine="0"/>
        <w:jc w:val="both"/>
        <w:rPr>
          <w:rFonts w:eastAsiaTheme="minorHAnsi"/>
          <w:color w:val="auto"/>
          <w:sz w:val="22"/>
          <w:szCs w:val="22"/>
          <w:lang w:eastAsia="en-US"/>
        </w:rPr>
      </w:pPr>
    </w:p>
    <w:p w:rsidR="00F573DB" w:rsidRPr="00F573DB" w:rsidRDefault="00F573DB" w:rsidP="00F573DB">
      <w:pPr>
        <w:spacing w:after="0" w:line="240" w:lineRule="auto"/>
        <w:ind w:left="0" w:firstLine="0"/>
        <w:jc w:val="both"/>
        <w:rPr>
          <w:rFonts w:eastAsiaTheme="minorHAnsi"/>
          <w:color w:val="auto"/>
          <w:sz w:val="22"/>
          <w:szCs w:val="22"/>
          <w:lang w:eastAsia="en-US"/>
        </w:rPr>
      </w:pPr>
      <w:r w:rsidRPr="00F573DB">
        <w:rPr>
          <w:rFonts w:eastAsiaTheme="minorHAnsi"/>
          <w:color w:val="auto"/>
          <w:sz w:val="22"/>
          <w:szCs w:val="22"/>
          <w:lang w:eastAsia="en-US"/>
        </w:rPr>
        <w:t xml:space="preserve">There is currently a 3 – 4 month lag between the activity and the claim submission and subsequent payments out to providers. Analysis of actual performance claimed through the ILR within this report is therefore based on activity delivered up to August 2016. </w:t>
      </w:r>
    </w:p>
    <w:p w:rsidR="00F573DB" w:rsidRPr="00F573DB" w:rsidRDefault="00F573DB" w:rsidP="00F573DB">
      <w:pPr>
        <w:spacing w:after="0" w:line="240" w:lineRule="auto"/>
        <w:ind w:left="0" w:firstLine="0"/>
        <w:jc w:val="both"/>
        <w:rPr>
          <w:rFonts w:eastAsiaTheme="minorHAnsi"/>
          <w:color w:val="auto"/>
          <w:sz w:val="22"/>
          <w:szCs w:val="22"/>
          <w:lang w:eastAsia="en-US"/>
        </w:rPr>
      </w:pPr>
    </w:p>
    <w:p w:rsidR="00F573DB" w:rsidRPr="00F573DB" w:rsidRDefault="00F573DB" w:rsidP="00F573DB">
      <w:pPr>
        <w:spacing w:after="0" w:line="240" w:lineRule="auto"/>
        <w:ind w:left="0" w:firstLine="0"/>
        <w:jc w:val="both"/>
        <w:rPr>
          <w:rFonts w:eastAsiaTheme="minorHAnsi"/>
          <w:color w:val="auto"/>
          <w:sz w:val="22"/>
          <w:szCs w:val="22"/>
          <w:lang w:eastAsia="en-US"/>
        </w:rPr>
      </w:pPr>
      <w:r w:rsidRPr="00F573DB">
        <w:rPr>
          <w:rFonts w:eastAsiaTheme="minorHAnsi"/>
          <w:color w:val="auto"/>
          <w:sz w:val="22"/>
          <w:szCs w:val="22"/>
          <w:lang w:eastAsia="en-US"/>
        </w:rPr>
        <w:t xml:space="preserve">In order to give context to the report, we have included additional information around activity not yet claimed through ILR. However, it should be noted that the SFA may use ILR data only in their Performance Monitoring for the whole ESF 2014-2020 programme, through a published 6 month cycle. </w:t>
      </w:r>
      <w:r w:rsidRPr="00F573DB">
        <w:rPr>
          <w:rFonts w:eastAsiaTheme="minorHAnsi"/>
          <w:b/>
          <w:color w:val="auto"/>
          <w:sz w:val="22"/>
          <w:szCs w:val="22"/>
          <w:lang w:eastAsia="en-US"/>
        </w:rPr>
        <w:t xml:space="preserve"> </w:t>
      </w:r>
    </w:p>
    <w:p w:rsidR="00F573DB" w:rsidRPr="00F573DB" w:rsidRDefault="00F573DB" w:rsidP="00F573DB">
      <w:pPr>
        <w:spacing w:after="0" w:line="240" w:lineRule="auto"/>
        <w:ind w:left="0" w:firstLine="0"/>
        <w:jc w:val="both"/>
        <w:rPr>
          <w:rFonts w:eastAsiaTheme="minorHAnsi"/>
          <w:b/>
          <w:color w:val="auto"/>
          <w:sz w:val="22"/>
          <w:szCs w:val="22"/>
          <w:lang w:eastAsia="en-US"/>
        </w:rPr>
      </w:pPr>
    </w:p>
    <w:p w:rsidR="00F573DB" w:rsidRPr="00F573DB" w:rsidRDefault="00F573DB" w:rsidP="00F573DB">
      <w:pPr>
        <w:spacing w:after="0" w:line="240" w:lineRule="auto"/>
        <w:ind w:left="0" w:firstLine="0"/>
        <w:jc w:val="both"/>
        <w:rPr>
          <w:rFonts w:eastAsiaTheme="minorHAnsi"/>
          <w:color w:val="auto"/>
          <w:sz w:val="22"/>
          <w:szCs w:val="22"/>
          <w:lang w:eastAsia="en-US"/>
        </w:rPr>
      </w:pPr>
      <w:r w:rsidRPr="00F573DB">
        <w:rPr>
          <w:rFonts w:eastAsiaTheme="minorHAnsi"/>
          <w:b/>
          <w:color w:val="auto"/>
          <w:sz w:val="22"/>
          <w:szCs w:val="22"/>
          <w:lang w:eastAsia="en-US"/>
        </w:rPr>
        <w:t>The first performance monitoring point (PMP) for ESF NEET is the 6</w:t>
      </w:r>
      <w:r w:rsidRPr="00F573DB">
        <w:rPr>
          <w:rFonts w:eastAsiaTheme="minorHAnsi"/>
          <w:b/>
          <w:color w:val="auto"/>
          <w:sz w:val="22"/>
          <w:szCs w:val="22"/>
          <w:vertAlign w:val="superscript"/>
          <w:lang w:eastAsia="en-US"/>
        </w:rPr>
        <w:t>th</w:t>
      </w:r>
      <w:r w:rsidRPr="00F573DB">
        <w:rPr>
          <w:rFonts w:eastAsiaTheme="minorHAnsi"/>
          <w:b/>
          <w:color w:val="auto"/>
          <w:sz w:val="22"/>
          <w:szCs w:val="22"/>
          <w:lang w:eastAsia="en-US"/>
        </w:rPr>
        <w:t xml:space="preserve"> January 2016 ILR date</w:t>
      </w:r>
      <w:r w:rsidRPr="00F573DB">
        <w:rPr>
          <w:rFonts w:eastAsiaTheme="minorHAnsi"/>
          <w:color w:val="auto"/>
          <w:sz w:val="22"/>
          <w:szCs w:val="22"/>
          <w:lang w:eastAsia="en-US"/>
        </w:rPr>
        <w:t xml:space="preserve">. At this point the tolerance level is set at 85%. The maximum contract value may be reduced automatically in line with this. There is currently a lack of clarity around this. Further discussion with the SFA will give more visibility as to whether any discretion could be applied to this ruling. </w:t>
      </w:r>
    </w:p>
    <w:p w:rsidR="00F573DB" w:rsidRPr="00F573DB" w:rsidRDefault="00F573DB" w:rsidP="00F573DB">
      <w:pPr>
        <w:spacing w:after="0" w:line="240" w:lineRule="auto"/>
        <w:ind w:left="0" w:firstLine="0"/>
        <w:rPr>
          <w:rFonts w:asciiTheme="minorHAnsi" w:eastAsiaTheme="minorHAnsi" w:hAnsiTheme="minorHAnsi" w:cstheme="minorBidi"/>
          <w:color w:val="auto"/>
          <w:sz w:val="22"/>
          <w:szCs w:val="22"/>
          <w:lang w:eastAsia="en-US"/>
        </w:rPr>
      </w:pPr>
    </w:p>
    <w:p w:rsidR="00F573DB" w:rsidRPr="00F573DB" w:rsidRDefault="00F573DB" w:rsidP="00F573DB">
      <w:pPr>
        <w:spacing w:after="0" w:line="240" w:lineRule="auto"/>
        <w:ind w:left="0" w:firstLine="0"/>
        <w:jc w:val="both"/>
        <w:rPr>
          <w:rFonts w:eastAsiaTheme="minorHAnsi"/>
          <w:color w:val="auto"/>
          <w:sz w:val="22"/>
          <w:szCs w:val="22"/>
          <w:lang w:eastAsia="en-US"/>
        </w:rPr>
      </w:pPr>
      <w:r w:rsidRPr="00F573DB">
        <w:rPr>
          <w:rFonts w:eastAsiaTheme="minorHAnsi"/>
          <w:color w:val="auto"/>
          <w:sz w:val="22"/>
          <w:szCs w:val="22"/>
          <w:lang w:eastAsia="en-US"/>
        </w:rPr>
        <w:t xml:space="preserve">If the reduction is automatic, this could have a significant impact on contract value and potential re-profiling, should the claim lag remain at the current level. Reducing the lag period is therefore a key area to address within the next claim cycle. Concerted efforts to provide evidence against all delivered activity will be made by all partners in the remaining period up to this deadline. </w:t>
      </w:r>
    </w:p>
    <w:p w:rsidR="00F573DB" w:rsidRPr="00F573DB" w:rsidRDefault="00F573DB" w:rsidP="00F573DB">
      <w:pPr>
        <w:spacing w:after="160" w:line="259" w:lineRule="auto"/>
        <w:ind w:left="0" w:firstLine="0"/>
        <w:jc w:val="both"/>
        <w:rPr>
          <w:rFonts w:eastAsiaTheme="minorHAnsi"/>
          <w:i/>
          <w:color w:val="auto"/>
          <w:sz w:val="22"/>
          <w:szCs w:val="22"/>
          <w:lang w:eastAsia="en-US"/>
        </w:rPr>
      </w:pPr>
    </w:p>
    <w:p w:rsidR="00F573DB" w:rsidRDefault="00F573DB" w:rsidP="00F573DB">
      <w:pPr>
        <w:numPr>
          <w:ilvl w:val="0"/>
          <w:numId w:val="7"/>
        </w:numPr>
        <w:spacing w:after="160" w:line="259" w:lineRule="auto"/>
        <w:ind w:hanging="720"/>
        <w:contextualSpacing/>
        <w:jc w:val="both"/>
        <w:rPr>
          <w:rFonts w:eastAsiaTheme="minorHAnsi"/>
          <w:b/>
          <w:color w:val="auto"/>
          <w:sz w:val="22"/>
          <w:szCs w:val="22"/>
          <w:lang w:eastAsia="en-US"/>
        </w:rPr>
      </w:pPr>
      <w:r w:rsidRPr="00F573DB">
        <w:rPr>
          <w:rFonts w:eastAsiaTheme="minorHAnsi"/>
          <w:b/>
          <w:color w:val="auto"/>
          <w:sz w:val="22"/>
          <w:szCs w:val="22"/>
          <w:lang w:eastAsia="en-US"/>
        </w:rPr>
        <w:t>Performance and Quality Monitoring Reporting</w:t>
      </w:r>
    </w:p>
    <w:p w:rsidR="00F573DB" w:rsidRPr="00F573DB" w:rsidRDefault="00F573DB" w:rsidP="00F573DB">
      <w:pPr>
        <w:spacing w:after="160" w:line="259" w:lineRule="auto"/>
        <w:ind w:left="720" w:firstLine="0"/>
        <w:contextualSpacing/>
        <w:jc w:val="both"/>
        <w:rPr>
          <w:rFonts w:eastAsiaTheme="minorHAnsi"/>
          <w:b/>
          <w:color w:val="auto"/>
          <w:sz w:val="22"/>
          <w:szCs w:val="22"/>
          <w:lang w:eastAsia="en-US"/>
        </w:rPr>
      </w:pPr>
    </w:p>
    <w:p w:rsidR="00F573DB" w:rsidRDefault="00F573DB" w:rsidP="00D61810">
      <w:pPr>
        <w:spacing w:after="160" w:line="259" w:lineRule="auto"/>
        <w:ind w:left="0" w:firstLine="0"/>
        <w:jc w:val="both"/>
        <w:rPr>
          <w:rFonts w:eastAsiaTheme="minorHAnsi"/>
          <w:color w:val="auto"/>
          <w:sz w:val="22"/>
          <w:szCs w:val="22"/>
          <w:lang w:eastAsia="en-US"/>
        </w:rPr>
      </w:pPr>
      <w:r w:rsidRPr="00F573DB">
        <w:rPr>
          <w:rFonts w:eastAsiaTheme="minorHAnsi"/>
          <w:color w:val="auto"/>
          <w:sz w:val="22"/>
          <w:szCs w:val="22"/>
          <w:lang w:eastAsia="en-US"/>
        </w:rPr>
        <w:t xml:space="preserve">The Lead Accountable Body (LAB), Preston's College, monitors and analyses claimed and unclaimed activity against deliverables on a monthly basis while also considering partner delivery models to ensure that they meet the LEP specification and provide successful outcomes for participants into further learning, Traineeship, Apprenticeship, Paid Employment or Unpaid employment. The LAB Performance and Quality Co-ordinator works alongside the Compliance Team as the main point of contact for all partners and carries out monthly Performance and Quality reviews against partner profiles. The inclusion of specialist partners within the subcontracting partnership provides an additional flexibility to deliver innovative approaches to secure positive outcomes. </w:t>
      </w:r>
      <w:r>
        <w:rPr>
          <w:rFonts w:eastAsiaTheme="minorHAnsi"/>
          <w:color w:val="auto"/>
          <w:sz w:val="22"/>
          <w:szCs w:val="22"/>
          <w:lang w:eastAsia="en-US"/>
        </w:rPr>
        <w:br w:type="page"/>
      </w:r>
    </w:p>
    <w:p w:rsidR="00F573DB" w:rsidRPr="00F573DB" w:rsidRDefault="00F573DB" w:rsidP="00C62EAD">
      <w:pPr>
        <w:numPr>
          <w:ilvl w:val="1"/>
          <w:numId w:val="7"/>
        </w:numPr>
        <w:spacing w:after="160" w:line="259" w:lineRule="auto"/>
        <w:ind w:left="709" w:firstLine="0"/>
        <w:contextualSpacing/>
        <w:jc w:val="both"/>
        <w:rPr>
          <w:rFonts w:eastAsiaTheme="minorHAnsi"/>
          <w:color w:val="auto"/>
          <w:sz w:val="22"/>
          <w:szCs w:val="22"/>
          <w:lang w:eastAsia="en-US"/>
        </w:rPr>
      </w:pPr>
      <w:r w:rsidRPr="00F573DB">
        <w:rPr>
          <w:rFonts w:eastAsiaTheme="minorHAnsi"/>
          <w:b/>
          <w:color w:val="auto"/>
          <w:sz w:val="22"/>
          <w:szCs w:val="22"/>
          <w:lang w:eastAsia="en-US"/>
        </w:rPr>
        <w:lastRenderedPageBreak/>
        <w:t xml:space="preserve">Performance at 2015/16 R14 Hard Close point </w:t>
      </w:r>
    </w:p>
    <w:tbl>
      <w:tblPr>
        <w:tblW w:w="9639" w:type="dxa"/>
        <w:tblInd w:w="-508" w:type="dxa"/>
        <w:tblCellMar>
          <w:left w:w="0" w:type="dxa"/>
          <w:right w:w="0" w:type="dxa"/>
        </w:tblCellMar>
        <w:tblLook w:val="0480" w:firstRow="0" w:lastRow="0" w:firstColumn="1" w:lastColumn="0" w:noHBand="0" w:noVBand="1"/>
      </w:tblPr>
      <w:tblGrid>
        <w:gridCol w:w="2268"/>
        <w:gridCol w:w="1134"/>
        <w:gridCol w:w="1418"/>
        <w:gridCol w:w="992"/>
        <w:gridCol w:w="1418"/>
        <w:gridCol w:w="1417"/>
        <w:gridCol w:w="992"/>
      </w:tblGrid>
      <w:tr w:rsidR="00F573DB" w:rsidRPr="00F573DB" w:rsidTr="00283CC1">
        <w:trPr>
          <w:trHeight w:val="777"/>
        </w:trPr>
        <w:tc>
          <w:tcPr>
            <w:tcW w:w="2268" w:type="dxa"/>
            <w:tcBorders>
              <w:top w:val="single" w:sz="6" w:space="0" w:color="383A3B"/>
              <w:left w:val="single" w:sz="6" w:space="0" w:color="383A3B"/>
              <w:bottom w:val="single" w:sz="6" w:space="0" w:color="383A3B"/>
              <w:right w:val="single" w:sz="6" w:space="0" w:color="383A3B"/>
            </w:tcBorders>
            <w:shd w:val="clear" w:color="auto" w:fill="BDD6EE" w:themeFill="accent1" w:themeFillTint="66"/>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bCs/>
                <w:color w:val="auto"/>
                <w:sz w:val="20"/>
                <w:szCs w:val="20"/>
                <w:lang w:eastAsia="en-US"/>
              </w:rPr>
              <w:t>Deliverable</w:t>
            </w:r>
          </w:p>
        </w:tc>
        <w:tc>
          <w:tcPr>
            <w:tcW w:w="1134" w:type="dxa"/>
            <w:tcBorders>
              <w:top w:val="single" w:sz="6" w:space="0" w:color="383A3B"/>
              <w:left w:val="single" w:sz="6" w:space="0" w:color="383A3B"/>
              <w:bottom w:val="single" w:sz="6" w:space="0" w:color="383A3B"/>
              <w:right w:val="single" w:sz="6" w:space="0" w:color="383A3B"/>
            </w:tcBorders>
            <w:shd w:val="clear" w:color="auto" w:fill="BDD6EE" w:themeFill="accent1" w:themeFillTint="66"/>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bCs/>
                <w:color w:val="auto"/>
                <w:sz w:val="20"/>
                <w:szCs w:val="20"/>
                <w:lang w:eastAsia="en-US"/>
              </w:rPr>
              <w:t>Profile Volumes (to end July 2016)</w:t>
            </w:r>
          </w:p>
        </w:tc>
        <w:tc>
          <w:tcPr>
            <w:tcW w:w="1418" w:type="dxa"/>
            <w:tcBorders>
              <w:top w:val="single" w:sz="6" w:space="0" w:color="383A3B"/>
              <w:left w:val="single" w:sz="6" w:space="0" w:color="383A3B"/>
              <w:bottom w:val="single" w:sz="6" w:space="0" w:color="383A3B"/>
              <w:right w:val="single" w:sz="6" w:space="0" w:color="383A3B"/>
            </w:tcBorders>
            <w:shd w:val="clear" w:color="auto" w:fill="BDD6EE" w:themeFill="accent1" w:themeFillTint="66"/>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bCs/>
                <w:color w:val="auto"/>
                <w:sz w:val="20"/>
                <w:szCs w:val="20"/>
                <w:lang w:eastAsia="en-US"/>
              </w:rPr>
              <w:t>ILR Performance Data Volumes</w:t>
            </w:r>
          </w:p>
        </w:tc>
        <w:tc>
          <w:tcPr>
            <w:tcW w:w="992" w:type="dxa"/>
            <w:tcBorders>
              <w:top w:val="single" w:sz="6" w:space="0" w:color="383A3B"/>
              <w:left w:val="single" w:sz="6" w:space="0" w:color="383A3B"/>
              <w:bottom w:val="single" w:sz="6" w:space="0" w:color="383A3B"/>
              <w:right w:val="single" w:sz="6" w:space="0" w:color="383A3B"/>
            </w:tcBorders>
            <w:shd w:val="clear" w:color="auto" w:fill="BDD6EE" w:themeFill="accent1" w:themeFillTint="66"/>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bCs/>
                <w:color w:val="auto"/>
                <w:sz w:val="20"/>
                <w:szCs w:val="20"/>
                <w:lang w:eastAsia="en-US"/>
              </w:rPr>
              <w:t>Actual % against profile</w:t>
            </w:r>
          </w:p>
        </w:tc>
        <w:tc>
          <w:tcPr>
            <w:tcW w:w="1418" w:type="dxa"/>
            <w:tcBorders>
              <w:top w:val="single" w:sz="6" w:space="0" w:color="383A3B"/>
              <w:left w:val="single" w:sz="6" w:space="0" w:color="383A3B"/>
              <w:bottom w:val="single" w:sz="6" w:space="0" w:color="383A3B"/>
              <w:right w:val="single" w:sz="6" w:space="0" w:color="383A3B"/>
            </w:tcBorders>
            <w:shd w:val="clear" w:color="auto" w:fill="BDD6EE" w:themeFill="accent1" w:themeFillTint="66"/>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bCs/>
                <w:color w:val="auto"/>
                <w:sz w:val="20"/>
                <w:szCs w:val="20"/>
                <w:lang w:eastAsia="en-US"/>
              </w:rPr>
              <w:t>Profile Value (to end July 2016)</w:t>
            </w:r>
          </w:p>
        </w:tc>
        <w:tc>
          <w:tcPr>
            <w:tcW w:w="1417" w:type="dxa"/>
            <w:tcBorders>
              <w:top w:val="single" w:sz="6" w:space="0" w:color="383A3B"/>
              <w:left w:val="single" w:sz="6" w:space="0" w:color="383A3B"/>
              <w:bottom w:val="single" w:sz="6" w:space="0" w:color="383A3B"/>
              <w:right w:val="single" w:sz="6" w:space="0" w:color="383A3B"/>
            </w:tcBorders>
            <w:shd w:val="clear" w:color="auto" w:fill="BDD6EE" w:themeFill="accent1" w:themeFillTint="66"/>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bCs/>
                <w:color w:val="auto"/>
                <w:sz w:val="20"/>
                <w:szCs w:val="20"/>
                <w:lang w:eastAsia="en-US"/>
              </w:rPr>
              <w:t>ILR Performance Data Values</w:t>
            </w:r>
          </w:p>
        </w:tc>
        <w:tc>
          <w:tcPr>
            <w:tcW w:w="992" w:type="dxa"/>
            <w:tcBorders>
              <w:top w:val="single" w:sz="6" w:space="0" w:color="383A3B"/>
              <w:left w:val="single" w:sz="6" w:space="0" w:color="383A3B"/>
              <w:bottom w:val="single" w:sz="6" w:space="0" w:color="383A3B"/>
              <w:right w:val="single" w:sz="6" w:space="0" w:color="383A3B"/>
            </w:tcBorders>
            <w:shd w:val="clear" w:color="auto" w:fill="BDD6EE" w:themeFill="accent1" w:themeFillTint="66"/>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bCs/>
                <w:color w:val="auto"/>
                <w:sz w:val="20"/>
                <w:szCs w:val="20"/>
                <w:lang w:eastAsia="en-US"/>
              </w:rPr>
              <w:t xml:space="preserve">Actual % against profile </w:t>
            </w:r>
          </w:p>
        </w:tc>
      </w:tr>
      <w:tr w:rsidR="00F573DB" w:rsidRPr="00F573DB" w:rsidTr="00283CC1">
        <w:trPr>
          <w:trHeight w:val="227"/>
        </w:trPr>
        <w:tc>
          <w:tcPr>
            <w:tcW w:w="226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rPr>
                <w:rFonts w:eastAsiaTheme="minorHAnsi"/>
                <w:b/>
                <w:color w:val="auto"/>
                <w:sz w:val="20"/>
                <w:szCs w:val="20"/>
                <w:lang w:eastAsia="en-US"/>
              </w:rPr>
            </w:pPr>
            <w:r w:rsidRPr="00F573DB">
              <w:rPr>
                <w:rFonts w:eastAsiaTheme="minorHAnsi"/>
                <w:b/>
                <w:bCs/>
                <w:color w:val="auto"/>
                <w:sz w:val="20"/>
                <w:szCs w:val="20"/>
                <w:lang w:eastAsia="en-US"/>
              </w:rPr>
              <w:t>Learning Assessment and Plan (ST01)</w:t>
            </w:r>
          </w:p>
        </w:tc>
        <w:tc>
          <w:tcPr>
            <w:tcW w:w="1134"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233</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220</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94%</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£33,785.00</w:t>
            </w:r>
          </w:p>
        </w:tc>
        <w:tc>
          <w:tcPr>
            <w:tcW w:w="1417"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£32,045.00</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95%</w:t>
            </w:r>
          </w:p>
        </w:tc>
      </w:tr>
      <w:tr w:rsidR="00F573DB" w:rsidRPr="00F573DB" w:rsidTr="00283CC1">
        <w:trPr>
          <w:trHeight w:val="128"/>
        </w:trPr>
        <w:tc>
          <w:tcPr>
            <w:tcW w:w="226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tcPr>
          <w:p w:rsidR="00F573DB" w:rsidRPr="00F573DB" w:rsidRDefault="00F573DB" w:rsidP="00F573DB">
            <w:pPr>
              <w:spacing w:before="100" w:beforeAutospacing="1" w:after="100" w:afterAutospacing="1" w:line="259" w:lineRule="auto"/>
              <w:ind w:left="0" w:firstLine="0"/>
              <w:rPr>
                <w:rFonts w:eastAsiaTheme="minorHAnsi"/>
                <w:b/>
                <w:bCs/>
                <w:color w:val="auto"/>
                <w:sz w:val="20"/>
                <w:szCs w:val="20"/>
                <w:lang w:eastAsia="en-US"/>
              </w:rPr>
            </w:pPr>
          </w:p>
        </w:tc>
        <w:tc>
          <w:tcPr>
            <w:tcW w:w="1134"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tcPr>
          <w:p w:rsidR="00F573DB" w:rsidRPr="00F573DB" w:rsidRDefault="00F573DB" w:rsidP="00F573DB">
            <w:pPr>
              <w:spacing w:before="100" w:beforeAutospacing="1" w:after="100" w:afterAutospacing="1" w:line="259" w:lineRule="auto"/>
              <w:ind w:left="0" w:firstLine="0"/>
              <w:jc w:val="both"/>
              <w:rPr>
                <w:rFonts w:eastAsiaTheme="minorHAnsi"/>
                <w:b/>
                <w:color w:val="auto"/>
                <w:sz w:val="20"/>
                <w:szCs w:val="20"/>
                <w:lang w:eastAsia="en-US"/>
              </w:rPr>
            </w:pP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tcPr>
          <w:p w:rsidR="00F573DB" w:rsidRPr="00F573DB" w:rsidRDefault="00F573DB" w:rsidP="00F573DB">
            <w:pPr>
              <w:spacing w:before="100" w:beforeAutospacing="1" w:after="100" w:afterAutospacing="1" w:line="259" w:lineRule="auto"/>
              <w:ind w:left="0" w:firstLine="0"/>
              <w:jc w:val="both"/>
              <w:rPr>
                <w:rFonts w:eastAsiaTheme="minorHAnsi"/>
                <w:b/>
                <w:color w:val="auto"/>
                <w:sz w:val="20"/>
                <w:szCs w:val="20"/>
                <w:lang w:eastAsia="en-US"/>
              </w:rPr>
            </w:pP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tcPr>
          <w:p w:rsidR="00F573DB" w:rsidRPr="00F573DB" w:rsidRDefault="00F573DB" w:rsidP="00F573DB">
            <w:pPr>
              <w:spacing w:before="100" w:beforeAutospacing="1" w:after="100" w:afterAutospacing="1" w:line="259" w:lineRule="auto"/>
              <w:ind w:left="0" w:firstLine="0"/>
              <w:jc w:val="both"/>
              <w:rPr>
                <w:rFonts w:eastAsiaTheme="minorHAnsi"/>
                <w:b/>
                <w:color w:val="auto"/>
                <w:sz w:val="20"/>
                <w:szCs w:val="20"/>
                <w:lang w:eastAsia="en-US"/>
              </w:rPr>
            </w:pP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tcPr>
          <w:p w:rsidR="00F573DB" w:rsidRPr="00F573DB" w:rsidRDefault="00F573DB" w:rsidP="00F573DB">
            <w:pPr>
              <w:spacing w:before="100" w:beforeAutospacing="1" w:after="100" w:afterAutospacing="1" w:line="259" w:lineRule="auto"/>
              <w:ind w:left="0" w:firstLine="0"/>
              <w:jc w:val="both"/>
              <w:rPr>
                <w:rFonts w:eastAsiaTheme="minorHAnsi"/>
                <w:b/>
                <w:color w:val="auto"/>
                <w:sz w:val="20"/>
                <w:szCs w:val="20"/>
                <w:lang w:eastAsia="en-US"/>
              </w:rPr>
            </w:pPr>
          </w:p>
        </w:tc>
        <w:tc>
          <w:tcPr>
            <w:tcW w:w="1417"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tcPr>
          <w:p w:rsidR="00F573DB" w:rsidRPr="00F573DB" w:rsidRDefault="00F573DB" w:rsidP="00F573DB">
            <w:pPr>
              <w:spacing w:before="100" w:beforeAutospacing="1" w:after="100" w:afterAutospacing="1" w:line="259" w:lineRule="auto"/>
              <w:ind w:left="0" w:firstLine="0"/>
              <w:jc w:val="both"/>
              <w:rPr>
                <w:rFonts w:eastAsiaTheme="minorHAnsi"/>
                <w:b/>
                <w:color w:val="auto"/>
                <w:sz w:val="20"/>
                <w:szCs w:val="20"/>
                <w:lang w:eastAsia="en-US"/>
              </w:rPr>
            </w:pP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tcPr>
          <w:p w:rsidR="00F573DB" w:rsidRPr="00F573DB" w:rsidRDefault="00F573DB" w:rsidP="00F573DB">
            <w:pPr>
              <w:spacing w:before="100" w:beforeAutospacing="1" w:after="100" w:afterAutospacing="1" w:line="259" w:lineRule="auto"/>
              <w:ind w:left="0" w:firstLine="0"/>
              <w:jc w:val="both"/>
              <w:rPr>
                <w:rFonts w:eastAsiaTheme="minorHAnsi"/>
                <w:b/>
                <w:color w:val="auto"/>
                <w:sz w:val="20"/>
                <w:szCs w:val="20"/>
                <w:lang w:eastAsia="en-US"/>
              </w:rPr>
            </w:pPr>
          </w:p>
        </w:tc>
      </w:tr>
      <w:tr w:rsidR="00F573DB" w:rsidRPr="00F573DB" w:rsidTr="00283CC1">
        <w:trPr>
          <w:trHeight w:val="201"/>
        </w:trPr>
        <w:tc>
          <w:tcPr>
            <w:tcW w:w="226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rPr>
                <w:rFonts w:eastAsiaTheme="minorHAnsi"/>
                <w:b/>
                <w:color w:val="auto"/>
                <w:sz w:val="20"/>
                <w:szCs w:val="20"/>
                <w:lang w:eastAsia="en-US"/>
              </w:rPr>
            </w:pPr>
            <w:r w:rsidRPr="00F573DB">
              <w:rPr>
                <w:rFonts w:eastAsiaTheme="minorHAnsi"/>
                <w:b/>
                <w:bCs/>
                <w:color w:val="auto"/>
                <w:sz w:val="20"/>
                <w:szCs w:val="20"/>
                <w:lang w:eastAsia="en-US"/>
              </w:rPr>
              <w:t>Regulated Learning - Start</w:t>
            </w:r>
          </w:p>
        </w:tc>
        <w:tc>
          <w:tcPr>
            <w:tcW w:w="1134"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308</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166</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54%</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1417"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r>
      <w:tr w:rsidR="00F573DB" w:rsidRPr="00F573DB" w:rsidTr="00283CC1">
        <w:trPr>
          <w:trHeight w:val="201"/>
        </w:trPr>
        <w:tc>
          <w:tcPr>
            <w:tcW w:w="226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rPr>
                <w:rFonts w:eastAsiaTheme="minorHAnsi"/>
                <w:b/>
                <w:color w:val="auto"/>
                <w:sz w:val="20"/>
                <w:szCs w:val="20"/>
                <w:lang w:eastAsia="en-US"/>
              </w:rPr>
            </w:pPr>
            <w:r w:rsidRPr="00F573DB">
              <w:rPr>
                <w:rFonts w:eastAsiaTheme="minorHAnsi"/>
                <w:b/>
                <w:bCs/>
                <w:color w:val="auto"/>
                <w:sz w:val="20"/>
                <w:szCs w:val="20"/>
                <w:lang w:eastAsia="en-US"/>
              </w:rPr>
              <w:t>Regulated Learning - Achievement</w:t>
            </w:r>
          </w:p>
        </w:tc>
        <w:tc>
          <w:tcPr>
            <w:tcW w:w="1134"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31</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38</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123%</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1417"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r>
      <w:tr w:rsidR="00F573DB" w:rsidRPr="00F573DB" w:rsidTr="00283CC1">
        <w:trPr>
          <w:trHeight w:val="201"/>
        </w:trPr>
        <w:tc>
          <w:tcPr>
            <w:tcW w:w="226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rPr>
                <w:rFonts w:eastAsiaTheme="minorHAnsi"/>
                <w:b/>
                <w:color w:val="auto"/>
                <w:sz w:val="20"/>
                <w:szCs w:val="20"/>
                <w:lang w:eastAsia="en-US"/>
              </w:rPr>
            </w:pPr>
            <w:r w:rsidRPr="00F573DB">
              <w:rPr>
                <w:rFonts w:eastAsiaTheme="minorHAnsi"/>
                <w:b/>
                <w:bCs/>
                <w:color w:val="auto"/>
                <w:sz w:val="20"/>
                <w:szCs w:val="20"/>
                <w:lang w:eastAsia="en-US"/>
              </w:rPr>
              <w:t>Regulated Learning - Value</w:t>
            </w:r>
          </w:p>
        </w:tc>
        <w:tc>
          <w:tcPr>
            <w:tcW w:w="1134"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£34,847.00</w:t>
            </w:r>
          </w:p>
        </w:tc>
        <w:tc>
          <w:tcPr>
            <w:tcW w:w="1417"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£39,691.25</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114%</w:t>
            </w:r>
          </w:p>
        </w:tc>
      </w:tr>
      <w:tr w:rsidR="00F573DB" w:rsidRPr="00F573DB" w:rsidTr="00283CC1">
        <w:trPr>
          <w:trHeight w:val="221"/>
        </w:trPr>
        <w:tc>
          <w:tcPr>
            <w:tcW w:w="226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rPr>
                <w:rFonts w:eastAsiaTheme="minorHAnsi"/>
                <w:b/>
                <w:color w:val="auto"/>
                <w:sz w:val="20"/>
                <w:szCs w:val="20"/>
                <w:lang w:eastAsia="en-US"/>
              </w:rPr>
            </w:pPr>
          </w:p>
        </w:tc>
        <w:tc>
          <w:tcPr>
            <w:tcW w:w="1134"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p>
        </w:tc>
        <w:tc>
          <w:tcPr>
            <w:tcW w:w="1417"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p>
        </w:tc>
      </w:tr>
      <w:tr w:rsidR="00F573DB" w:rsidRPr="00F573DB" w:rsidTr="00283CC1">
        <w:trPr>
          <w:trHeight w:val="201"/>
        </w:trPr>
        <w:tc>
          <w:tcPr>
            <w:tcW w:w="226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rPr>
                <w:rFonts w:eastAsiaTheme="minorHAnsi"/>
                <w:b/>
                <w:color w:val="auto"/>
                <w:sz w:val="20"/>
                <w:szCs w:val="20"/>
                <w:lang w:eastAsia="en-US"/>
              </w:rPr>
            </w:pPr>
            <w:r w:rsidRPr="00F573DB">
              <w:rPr>
                <w:rFonts w:eastAsiaTheme="minorHAnsi"/>
                <w:b/>
                <w:bCs/>
                <w:color w:val="auto"/>
                <w:sz w:val="20"/>
                <w:szCs w:val="20"/>
                <w:lang w:eastAsia="en-US"/>
              </w:rPr>
              <w:t>Non-Regulated Learning - Start</w:t>
            </w:r>
          </w:p>
        </w:tc>
        <w:tc>
          <w:tcPr>
            <w:tcW w:w="1134"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298</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185</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62%</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1417"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r>
      <w:tr w:rsidR="00F573DB" w:rsidRPr="00F573DB" w:rsidTr="00283CC1">
        <w:trPr>
          <w:trHeight w:val="213"/>
        </w:trPr>
        <w:tc>
          <w:tcPr>
            <w:tcW w:w="226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rPr>
                <w:rFonts w:eastAsiaTheme="minorHAnsi"/>
                <w:b/>
                <w:color w:val="auto"/>
                <w:sz w:val="20"/>
                <w:szCs w:val="20"/>
                <w:lang w:eastAsia="en-US"/>
              </w:rPr>
            </w:pPr>
            <w:r w:rsidRPr="00F573DB">
              <w:rPr>
                <w:rFonts w:eastAsiaTheme="minorHAnsi"/>
                <w:b/>
                <w:bCs/>
                <w:color w:val="auto"/>
                <w:sz w:val="20"/>
                <w:szCs w:val="20"/>
                <w:lang w:eastAsia="en-US"/>
              </w:rPr>
              <w:t>Non-Regulated Learning - Achievement</w:t>
            </w:r>
          </w:p>
        </w:tc>
        <w:tc>
          <w:tcPr>
            <w:tcW w:w="1134"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49</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21</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43%</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1417"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r>
      <w:tr w:rsidR="00F573DB" w:rsidRPr="00F573DB" w:rsidTr="00283CC1">
        <w:trPr>
          <w:trHeight w:val="201"/>
        </w:trPr>
        <w:tc>
          <w:tcPr>
            <w:tcW w:w="226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rPr>
                <w:rFonts w:eastAsiaTheme="minorHAnsi"/>
                <w:b/>
                <w:color w:val="auto"/>
                <w:sz w:val="20"/>
                <w:szCs w:val="20"/>
                <w:lang w:eastAsia="en-US"/>
              </w:rPr>
            </w:pPr>
            <w:r w:rsidRPr="00F573DB">
              <w:rPr>
                <w:rFonts w:eastAsiaTheme="minorHAnsi"/>
                <w:b/>
                <w:bCs/>
                <w:color w:val="auto"/>
                <w:sz w:val="20"/>
                <w:szCs w:val="20"/>
                <w:lang w:eastAsia="en-US"/>
              </w:rPr>
              <w:t>Non-Regulated Learning - Value</w:t>
            </w:r>
          </w:p>
        </w:tc>
        <w:tc>
          <w:tcPr>
            <w:tcW w:w="1134"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£30,194.00</w:t>
            </w:r>
          </w:p>
        </w:tc>
        <w:tc>
          <w:tcPr>
            <w:tcW w:w="1417"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£25,807.25</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85%</w:t>
            </w:r>
          </w:p>
        </w:tc>
      </w:tr>
      <w:tr w:rsidR="00F573DB" w:rsidRPr="00F573DB" w:rsidTr="00283CC1">
        <w:trPr>
          <w:trHeight w:val="229"/>
        </w:trPr>
        <w:tc>
          <w:tcPr>
            <w:tcW w:w="226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rPr>
                <w:rFonts w:eastAsiaTheme="minorHAnsi"/>
                <w:b/>
                <w:color w:val="auto"/>
                <w:sz w:val="20"/>
                <w:szCs w:val="20"/>
                <w:lang w:eastAsia="en-US"/>
              </w:rPr>
            </w:pPr>
          </w:p>
        </w:tc>
        <w:tc>
          <w:tcPr>
            <w:tcW w:w="1134"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p>
        </w:tc>
        <w:tc>
          <w:tcPr>
            <w:tcW w:w="1417"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p>
        </w:tc>
      </w:tr>
      <w:tr w:rsidR="00F573DB" w:rsidRPr="00F573DB" w:rsidTr="00283CC1">
        <w:trPr>
          <w:trHeight w:val="403"/>
        </w:trPr>
        <w:tc>
          <w:tcPr>
            <w:tcW w:w="226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rPr>
                <w:rFonts w:eastAsiaTheme="minorHAnsi"/>
                <w:b/>
                <w:color w:val="auto"/>
                <w:sz w:val="20"/>
                <w:szCs w:val="20"/>
                <w:lang w:eastAsia="en-US"/>
              </w:rPr>
            </w:pPr>
            <w:r w:rsidRPr="00F573DB">
              <w:rPr>
                <w:rFonts w:eastAsiaTheme="minorHAnsi"/>
                <w:b/>
                <w:bCs/>
                <w:color w:val="auto"/>
                <w:sz w:val="20"/>
                <w:szCs w:val="20"/>
                <w:lang w:eastAsia="en-US"/>
              </w:rPr>
              <w:t>Uplift for 16-18yr old achieving English &amp; Maths qualifications</w:t>
            </w:r>
          </w:p>
        </w:tc>
        <w:tc>
          <w:tcPr>
            <w:tcW w:w="1134"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35</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0</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0%</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£10,500.00</w:t>
            </w:r>
          </w:p>
        </w:tc>
        <w:tc>
          <w:tcPr>
            <w:tcW w:w="1417"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£0.00</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0%</w:t>
            </w:r>
          </w:p>
        </w:tc>
      </w:tr>
      <w:tr w:rsidR="00F573DB" w:rsidRPr="00F573DB" w:rsidTr="00283CC1">
        <w:trPr>
          <w:trHeight w:val="57"/>
        </w:trPr>
        <w:tc>
          <w:tcPr>
            <w:tcW w:w="226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tcPr>
          <w:p w:rsidR="00F573DB" w:rsidRPr="00F573DB" w:rsidRDefault="00F573DB" w:rsidP="00F573DB">
            <w:pPr>
              <w:spacing w:after="0" w:line="259" w:lineRule="auto"/>
              <w:ind w:left="0" w:firstLine="0"/>
              <w:rPr>
                <w:rFonts w:eastAsiaTheme="minorHAnsi"/>
                <w:b/>
                <w:bCs/>
                <w:color w:val="auto"/>
                <w:sz w:val="20"/>
                <w:szCs w:val="20"/>
                <w:lang w:eastAsia="en-US"/>
              </w:rPr>
            </w:pPr>
          </w:p>
        </w:tc>
        <w:tc>
          <w:tcPr>
            <w:tcW w:w="1134"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tcPr>
          <w:p w:rsidR="00F573DB" w:rsidRPr="00F573DB" w:rsidRDefault="00F573DB" w:rsidP="00F573DB">
            <w:pPr>
              <w:spacing w:before="100" w:beforeAutospacing="1" w:after="100" w:afterAutospacing="1" w:line="259" w:lineRule="auto"/>
              <w:ind w:left="0" w:firstLine="0"/>
              <w:jc w:val="both"/>
              <w:rPr>
                <w:rFonts w:eastAsiaTheme="minorHAnsi"/>
                <w:b/>
                <w:color w:val="auto"/>
                <w:sz w:val="20"/>
                <w:szCs w:val="20"/>
                <w:lang w:eastAsia="en-US"/>
              </w:rPr>
            </w:pP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tcPr>
          <w:p w:rsidR="00F573DB" w:rsidRPr="00F573DB" w:rsidRDefault="00F573DB" w:rsidP="00F573DB">
            <w:pPr>
              <w:spacing w:before="100" w:beforeAutospacing="1" w:after="100" w:afterAutospacing="1" w:line="259" w:lineRule="auto"/>
              <w:ind w:left="0" w:firstLine="0"/>
              <w:jc w:val="both"/>
              <w:rPr>
                <w:rFonts w:eastAsiaTheme="minorHAnsi"/>
                <w:b/>
                <w:color w:val="auto"/>
                <w:sz w:val="20"/>
                <w:szCs w:val="20"/>
                <w:lang w:eastAsia="en-US"/>
              </w:rPr>
            </w:pP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tcPr>
          <w:p w:rsidR="00F573DB" w:rsidRPr="00F573DB" w:rsidRDefault="00F573DB" w:rsidP="00F573DB">
            <w:pPr>
              <w:spacing w:before="100" w:beforeAutospacing="1" w:after="100" w:afterAutospacing="1" w:line="259" w:lineRule="auto"/>
              <w:ind w:left="0" w:firstLine="0"/>
              <w:jc w:val="both"/>
              <w:rPr>
                <w:rFonts w:eastAsiaTheme="minorHAnsi"/>
                <w:b/>
                <w:color w:val="auto"/>
                <w:sz w:val="20"/>
                <w:szCs w:val="20"/>
                <w:lang w:eastAsia="en-US"/>
              </w:rPr>
            </w:pP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tcPr>
          <w:p w:rsidR="00F573DB" w:rsidRPr="00F573DB" w:rsidRDefault="00F573DB" w:rsidP="00F573DB">
            <w:pPr>
              <w:spacing w:before="100" w:beforeAutospacing="1" w:after="100" w:afterAutospacing="1" w:line="259" w:lineRule="auto"/>
              <w:ind w:left="0" w:firstLine="0"/>
              <w:jc w:val="both"/>
              <w:rPr>
                <w:rFonts w:eastAsiaTheme="minorHAnsi"/>
                <w:b/>
                <w:color w:val="auto"/>
                <w:sz w:val="20"/>
                <w:szCs w:val="20"/>
                <w:lang w:eastAsia="en-US"/>
              </w:rPr>
            </w:pPr>
          </w:p>
        </w:tc>
        <w:tc>
          <w:tcPr>
            <w:tcW w:w="1417"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tcPr>
          <w:p w:rsidR="00F573DB" w:rsidRPr="00F573DB" w:rsidRDefault="00F573DB" w:rsidP="00F573DB">
            <w:pPr>
              <w:spacing w:before="100" w:beforeAutospacing="1" w:after="100" w:afterAutospacing="1" w:line="259" w:lineRule="auto"/>
              <w:ind w:left="0" w:firstLine="0"/>
              <w:jc w:val="both"/>
              <w:rPr>
                <w:rFonts w:eastAsiaTheme="minorHAnsi"/>
                <w:b/>
                <w:color w:val="auto"/>
                <w:sz w:val="20"/>
                <w:szCs w:val="20"/>
                <w:lang w:eastAsia="en-US"/>
              </w:rPr>
            </w:pP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tcPr>
          <w:p w:rsidR="00F573DB" w:rsidRPr="00F573DB" w:rsidRDefault="00F573DB" w:rsidP="00F573DB">
            <w:pPr>
              <w:spacing w:before="100" w:beforeAutospacing="1" w:after="100" w:afterAutospacing="1" w:line="259" w:lineRule="auto"/>
              <w:ind w:left="0" w:firstLine="0"/>
              <w:jc w:val="both"/>
              <w:rPr>
                <w:rFonts w:eastAsiaTheme="minorHAnsi"/>
                <w:b/>
                <w:color w:val="auto"/>
                <w:sz w:val="20"/>
                <w:szCs w:val="20"/>
                <w:lang w:eastAsia="en-US"/>
              </w:rPr>
            </w:pPr>
          </w:p>
        </w:tc>
      </w:tr>
      <w:tr w:rsidR="00F573DB" w:rsidRPr="00F573DB" w:rsidTr="00283CC1">
        <w:trPr>
          <w:trHeight w:val="379"/>
        </w:trPr>
        <w:tc>
          <w:tcPr>
            <w:tcW w:w="226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rPr>
                <w:rFonts w:eastAsiaTheme="minorHAnsi"/>
                <w:b/>
                <w:color w:val="auto"/>
                <w:sz w:val="20"/>
                <w:szCs w:val="20"/>
                <w:lang w:eastAsia="en-US"/>
              </w:rPr>
            </w:pPr>
            <w:r w:rsidRPr="00F573DB">
              <w:rPr>
                <w:rFonts w:eastAsiaTheme="minorHAnsi"/>
                <w:b/>
                <w:bCs/>
                <w:color w:val="auto"/>
                <w:sz w:val="20"/>
                <w:szCs w:val="20"/>
                <w:lang w:eastAsia="en-US"/>
              </w:rPr>
              <w:t>Progression Paid Employment (PG01)</w:t>
            </w:r>
          </w:p>
        </w:tc>
        <w:tc>
          <w:tcPr>
            <w:tcW w:w="1134"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2</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4</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200%</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1417"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r>
      <w:tr w:rsidR="00F573DB" w:rsidRPr="00F573DB" w:rsidTr="00283CC1">
        <w:trPr>
          <w:trHeight w:val="379"/>
        </w:trPr>
        <w:tc>
          <w:tcPr>
            <w:tcW w:w="226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rPr>
                <w:rFonts w:eastAsiaTheme="minorHAnsi"/>
                <w:b/>
                <w:color w:val="auto"/>
                <w:sz w:val="20"/>
                <w:szCs w:val="20"/>
                <w:lang w:eastAsia="en-US"/>
              </w:rPr>
            </w:pPr>
            <w:r w:rsidRPr="00F573DB">
              <w:rPr>
                <w:rFonts w:eastAsiaTheme="minorHAnsi"/>
                <w:b/>
                <w:bCs/>
                <w:color w:val="auto"/>
                <w:sz w:val="20"/>
                <w:szCs w:val="20"/>
                <w:lang w:eastAsia="en-US"/>
              </w:rPr>
              <w:t>Progression Unpaid Employment (PG02)</w:t>
            </w:r>
          </w:p>
        </w:tc>
        <w:tc>
          <w:tcPr>
            <w:tcW w:w="1134"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2</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0%</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1417"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r>
      <w:tr w:rsidR="00F573DB" w:rsidRPr="00F573DB" w:rsidTr="00283CC1">
        <w:trPr>
          <w:trHeight w:val="201"/>
        </w:trPr>
        <w:tc>
          <w:tcPr>
            <w:tcW w:w="226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rPr>
                <w:rFonts w:eastAsiaTheme="minorHAnsi"/>
                <w:b/>
                <w:color w:val="auto"/>
                <w:sz w:val="20"/>
                <w:szCs w:val="20"/>
                <w:lang w:eastAsia="en-US"/>
              </w:rPr>
            </w:pPr>
            <w:r w:rsidRPr="00F573DB">
              <w:rPr>
                <w:rFonts w:eastAsiaTheme="minorHAnsi"/>
                <w:b/>
                <w:bCs/>
                <w:color w:val="auto"/>
                <w:sz w:val="20"/>
                <w:szCs w:val="20"/>
                <w:lang w:eastAsia="en-US"/>
              </w:rPr>
              <w:t>Progression Education (PG03)</w:t>
            </w:r>
          </w:p>
        </w:tc>
        <w:tc>
          <w:tcPr>
            <w:tcW w:w="1134"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0</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13</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1417"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r>
      <w:tr w:rsidR="00F573DB" w:rsidRPr="00F573DB" w:rsidTr="00283CC1">
        <w:trPr>
          <w:trHeight w:val="201"/>
        </w:trPr>
        <w:tc>
          <w:tcPr>
            <w:tcW w:w="226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rPr>
                <w:rFonts w:eastAsiaTheme="minorHAnsi"/>
                <w:b/>
                <w:color w:val="auto"/>
                <w:sz w:val="20"/>
                <w:szCs w:val="20"/>
                <w:lang w:eastAsia="en-US"/>
              </w:rPr>
            </w:pPr>
            <w:r w:rsidRPr="00F573DB">
              <w:rPr>
                <w:rFonts w:eastAsiaTheme="minorHAnsi"/>
                <w:b/>
                <w:bCs/>
                <w:color w:val="auto"/>
                <w:sz w:val="20"/>
                <w:szCs w:val="20"/>
                <w:lang w:eastAsia="en-US"/>
              </w:rPr>
              <w:t>Progression Apprenticeship (PG04)</w:t>
            </w:r>
          </w:p>
        </w:tc>
        <w:tc>
          <w:tcPr>
            <w:tcW w:w="1134"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5</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0</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0%</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1417"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r>
      <w:tr w:rsidR="00F573DB" w:rsidRPr="00F573DB" w:rsidTr="00283CC1">
        <w:trPr>
          <w:trHeight w:val="201"/>
        </w:trPr>
        <w:tc>
          <w:tcPr>
            <w:tcW w:w="226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rPr>
                <w:rFonts w:eastAsiaTheme="minorHAnsi"/>
                <w:b/>
                <w:color w:val="auto"/>
                <w:sz w:val="20"/>
                <w:szCs w:val="20"/>
                <w:lang w:eastAsia="en-US"/>
              </w:rPr>
            </w:pPr>
            <w:r w:rsidRPr="00F573DB">
              <w:rPr>
                <w:rFonts w:eastAsiaTheme="minorHAnsi"/>
                <w:b/>
                <w:bCs/>
                <w:color w:val="auto"/>
                <w:sz w:val="20"/>
                <w:szCs w:val="20"/>
                <w:lang w:eastAsia="en-US"/>
              </w:rPr>
              <w:t>Progression Traineeship (PG05)</w:t>
            </w:r>
          </w:p>
        </w:tc>
        <w:tc>
          <w:tcPr>
            <w:tcW w:w="1134"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2</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0</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0%</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1417"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r>
      <w:tr w:rsidR="00F573DB" w:rsidRPr="00F573DB" w:rsidTr="00283CC1">
        <w:trPr>
          <w:trHeight w:val="212"/>
        </w:trPr>
        <w:tc>
          <w:tcPr>
            <w:tcW w:w="226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bCs/>
                <w:color w:val="auto"/>
                <w:sz w:val="20"/>
                <w:szCs w:val="20"/>
                <w:lang w:eastAsia="en-US"/>
              </w:rPr>
              <w:t>Progression Value</w:t>
            </w:r>
          </w:p>
        </w:tc>
        <w:tc>
          <w:tcPr>
            <w:tcW w:w="1134"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 </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£7,200.00</w:t>
            </w:r>
          </w:p>
        </w:tc>
        <w:tc>
          <w:tcPr>
            <w:tcW w:w="1417"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£8,400.00</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color w:val="auto"/>
                <w:sz w:val="20"/>
                <w:szCs w:val="20"/>
                <w:lang w:eastAsia="en-US"/>
              </w:rPr>
              <w:t>117%</w:t>
            </w:r>
          </w:p>
        </w:tc>
      </w:tr>
      <w:tr w:rsidR="00F573DB" w:rsidRPr="00F573DB" w:rsidTr="00283CC1">
        <w:trPr>
          <w:trHeight w:val="20"/>
        </w:trPr>
        <w:tc>
          <w:tcPr>
            <w:tcW w:w="226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tcPr>
          <w:p w:rsidR="00F573DB" w:rsidRPr="00F573DB" w:rsidRDefault="00F573DB" w:rsidP="00F573DB">
            <w:pPr>
              <w:spacing w:after="0" w:line="259" w:lineRule="auto"/>
              <w:ind w:left="0" w:firstLine="0"/>
              <w:jc w:val="both"/>
              <w:rPr>
                <w:rFonts w:eastAsiaTheme="minorHAnsi"/>
                <w:b/>
                <w:bCs/>
                <w:color w:val="auto"/>
                <w:sz w:val="20"/>
                <w:szCs w:val="20"/>
                <w:lang w:eastAsia="en-US"/>
              </w:rPr>
            </w:pPr>
          </w:p>
        </w:tc>
        <w:tc>
          <w:tcPr>
            <w:tcW w:w="1134"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tcPr>
          <w:p w:rsidR="00F573DB" w:rsidRPr="00F573DB" w:rsidRDefault="00F573DB" w:rsidP="00F573DB">
            <w:pPr>
              <w:spacing w:after="0" w:line="259" w:lineRule="auto"/>
              <w:ind w:left="0" w:firstLine="0"/>
              <w:jc w:val="both"/>
              <w:rPr>
                <w:rFonts w:eastAsiaTheme="minorHAnsi"/>
                <w:b/>
                <w:color w:val="auto"/>
                <w:sz w:val="20"/>
                <w:szCs w:val="20"/>
                <w:lang w:eastAsia="en-US"/>
              </w:rPr>
            </w:pP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tcPr>
          <w:p w:rsidR="00F573DB" w:rsidRPr="00F573DB" w:rsidRDefault="00F573DB" w:rsidP="00F573DB">
            <w:pPr>
              <w:spacing w:after="0" w:line="259" w:lineRule="auto"/>
              <w:ind w:left="0" w:firstLine="0"/>
              <w:jc w:val="both"/>
              <w:rPr>
                <w:rFonts w:eastAsiaTheme="minorHAnsi"/>
                <w:b/>
                <w:color w:val="auto"/>
                <w:sz w:val="20"/>
                <w:szCs w:val="20"/>
                <w:lang w:eastAsia="en-US"/>
              </w:rPr>
            </w:pP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tcPr>
          <w:p w:rsidR="00F573DB" w:rsidRPr="00F573DB" w:rsidRDefault="00F573DB" w:rsidP="00F573DB">
            <w:pPr>
              <w:spacing w:after="0" w:line="259" w:lineRule="auto"/>
              <w:ind w:left="0" w:firstLine="0"/>
              <w:jc w:val="both"/>
              <w:rPr>
                <w:rFonts w:eastAsiaTheme="minorHAnsi"/>
                <w:b/>
                <w:color w:val="auto"/>
                <w:sz w:val="20"/>
                <w:szCs w:val="20"/>
                <w:lang w:eastAsia="en-US"/>
              </w:rPr>
            </w:pP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tcPr>
          <w:p w:rsidR="00F573DB" w:rsidRPr="00F573DB" w:rsidRDefault="00F573DB" w:rsidP="00F573DB">
            <w:pPr>
              <w:spacing w:after="0" w:line="259" w:lineRule="auto"/>
              <w:ind w:left="0" w:firstLine="0"/>
              <w:jc w:val="both"/>
              <w:rPr>
                <w:rFonts w:eastAsiaTheme="minorHAnsi"/>
                <w:b/>
                <w:color w:val="auto"/>
                <w:sz w:val="20"/>
                <w:szCs w:val="20"/>
                <w:lang w:eastAsia="en-US"/>
              </w:rPr>
            </w:pPr>
          </w:p>
        </w:tc>
        <w:tc>
          <w:tcPr>
            <w:tcW w:w="1417"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tcPr>
          <w:p w:rsidR="00F573DB" w:rsidRPr="00F573DB" w:rsidRDefault="00F573DB" w:rsidP="00F573DB">
            <w:pPr>
              <w:spacing w:after="0" w:line="259" w:lineRule="auto"/>
              <w:ind w:left="0" w:firstLine="0"/>
              <w:jc w:val="both"/>
              <w:rPr>
                <w:rFonts w:eastAsiaTheme="minorHAnsi"/>
                <w:b/>
                <w:color w:val="auto"/>
                <w:sz w:val="20"/>
                <w:szCs w:val="20"/>
                <w:lang w:eastAsia="en-US"/>
              </w:rPr>
            </w:pP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tcPr>
          <w:p w:rsidR="00F573DB" w:rsidRPr="00F573DB" w:rsidRDefault="00F573DB" w:rsidP="00F573DB">
            <w:pPr>
              <w:spacing w:after="0" w:line="259" w:lineRule="auto"/>
              <w:ind w:left="0" w:firstLine="0"/>
              <w:jc w:val="both"/>
              <w:rPr>
                <w:rFonts w:eastAsiaTheme="minorHAnsi"/>
                <w:b/>
                <w:color w:val="auto"/>
                <w:sz w:val="20"/>
                <w:szCs w:val="20"/>
                <w:lang w:eastAsia="en-US"/>
              </w:rPr>
            </w:pPr>
          </w:p>
        </w:tc>
      </w:tr>
      <w:tr w:rsidR="00F573DB" w:rsidRPr="00F573DB" w:rsidTr="00283CC1">
        <w:trPr>
          <w:trHeight w:val="212"/>
        </w:trPr>
        <w:tc>
          <w:tcPr>
            <w:tcW w:w="226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bCs/>
                <w:color w:val="auto"/>
                <w:sz w:val="20"/>
                <w:szCs w:val="20"/>
                <w:lang w:eastAsia="en-US"/>
              </w:rPr>
              <w:t>TOTAL</w:t>
            </w:r>
          </w:p>
        </w:tc>
        <w:tc>
          <w:tcPr>
            <w:tcW w:w="1134"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bCs/>
                <w:color w:val="auto"/>
                <w:sz w:val="20"/>
                <w:szCs w:val="20"/>
                <w:lang w:eastAsia="en-US"/>
              </w:rPr>
              <w:t> </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bCs/>
                <w:color w:val="auto"/>
                <w:sz w:val="20"/>
                <w:szCs w:val="20"/>
                <w:lang w:eastAsia="en-US"/>
              </w:rPr>
              <w:t> </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bCs/>
                <w:color w:val="auto"/>
                <w:sz w:val="20"/>
                <w:szCs w:val="20"/>
                <w:lang w:eastAsia="en-US"/>
              </w:rPr>
              <w:t> </w:t>
            </w:r>
          </w:p>
        </w:tc>
        <w:tc>
          <w:tcPr>
            <w:tcW w:w="1418"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bCs/>
                <w:color w:val="auto"/>
                <w:sz w:val="20"/>
                <w:szCs w:val="20"/>
                <w:lang w:eastAsia="en-US"/>
              </w:rPr>
              <w:t>£116,526.00</w:t>
            </w:r>
          </w:p>
        </w:tc>
        <w:tc>
          <w:tcPr>
            <w:tcW w:w="1417"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bCs/>
                <w:color w:val="auto"/>
                <w:sz w:val="20"/>
                <w:szCs w:val="20"/>
                <w:lang w:eastAsia="en-US"/>
              </w:rPr>
              <w:t>£105,943.50</w:t>
            </w:r>
          </w:p>
        </w:tc>
        <w:tc>
          <w:tcPr>
            <w:tcW w:w="992" w:type="dxa"/>
            <w:tcBorders>
              <w:top w:val="single" w:sz="6" w:space="0" w:color="383A3B"/>
              <w:left w:val="single" w:sz="6" w:space="0" w:color="383A3B"/>
              <w:bottom w:val="single" w:sz="6" w:space="0" w:color="383A3B"/>
              <w:right w:val="single" w:sz="6" w:space="0" w:color="383A3B"/>
            </w:tcBorders>
            <w:shd w:val="clear" w:color="auto" w:fill="auto"/>
            <w:tcMar>
              <w:top w:w="15" w:type="dxa"/>
              <w:left w:w="59" w:type="dxa"/>
              <w:bottom w:w="0" w:type="dxa"/>
              <w:right w:w="59" w:type="dxa"/>
            </w:tcMar>
            <w:vAlign w:val="bottom"/>
            <w:hideMark/>
          </w:tcPr>
          <w:p w:rsidR="00F573DB" w:rsidRPr="00F573DB" w:rsidRDefault="00F573DB" w:rsidP="00F573DB">
            <w:pPr>
              <w:spacing w:after="160" w:line="259" w:lineRule="auto"/>
              <w:ind w:left="0" w:firstLine="0"/>
              <w:jc w:val="both"/>
              <w:rPr>
                <w:rFonts w:eastAsiaTheme="minorHAnsi"/>
                <w:b/>
                <w:color w:val="auto"/>
                <w:sz w:val="20"/>
                <w:szCs w:val="20"/>
                <w:lang w:eastAsia="en-US"/>
              </w:rPr>
            </w:pPr>
            <w:r w:rsidRPr="00F573DB">
              <w:rPr>
                <w:rFonts w:eastAsiaTheme="minorHAnsi"/>
                <w:b/>
                <w:bCs/>
                <w:color w:val="auto"/>
                <w:sz w:val="20"/>
                <w:szCs w:val="20"/>
                <w:lang w:eastAsia="en-US"/>
              </w:rPr>
              <w:t>91%</w:t>
            </w:r>
          </w:p>
        </w:tc>
      </w:tr>
    </w:tbl>
    <w:p w:rsidR="00F573DB" w:rsidRPr="00F573DB" w:rsidRDefault="00F573DB" w:rsidP="00F573DB">
      <w:pPr>
        <w:spacing w:after="160" w:line="259" w:lineRule="auto"/>
        <w:ind w:left="0" w:firstLine="0"/>
        <w:jc w:val="both"/>
        <w:rPr>
          <w:rFonts w:eastAsiaTheme="minorHAnsi"/>
          <w:b/>
          <w:color w:val="FF0000"/>
          <w:sz w:val="22"/>
          <w:szCs w:val="22"/>
          <w:lang w:eastAsia="en-US"/>
        </w:rPr>
      </w:pPr>
    </w:p>
    <w:p w:rsidR="00F573DB" w:rsidRPr="00F573DB" w:rsidRDefault="00F573DB" w:rsidP="00F573DB">
      <w:pPr>
        <w:numPr>
          <w:ilvl w:val="1"/>
          <w:numId w:val="7"/>
        </w:numPr>
        <w:spacing w:after="160" w:line="259" w:lineRule="auto"/>
        <w:ind w:hanging="1080"/>
        <w:contextualSpacing/>
        <w:jc w:val="both"/>
        <w:rPr>
          <w:rFonts w:eastAsiaTheme="minorHAnsi"/>
          <w:b/>
          <w:color w:val="auto"/>
          <w:sz w:val="22"/>
          <w:szCs w:val="22"/>
          <w:lang w:eastAsia="en-US"/>
        </w:rPr>
      </w:pPr>
      <w:r w:rsidRPr="00F573DB">
        <w:rPr>
          <w:rFonts w:eastAsiaTheme="minorHAnsi"/>
          <w:b/>
          <w:color w:val="auto"/>
          <w:sz w:val="22"/>
          <w:szCs w:val="22"/>
          <w:lang w:eastAsia="en-US"/>
        </w:rPr>
        <w:t xml:space="preserve">Update on Performance as at 2016/17 R03 Point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95"/>
        <w:gridCol w:w="1559"/>
        <w:gridCol w:w="2126"/>
      </w:tblGrid>
      <w:tr w:rsidR="00F573DB" w:rsidRPr="00F573DB" w:rsidTr="00283CC1">
        <w:trPr>
          <w:trHeight w:val="300"/>
        </w:trPr>
        <w:tc>
          <w:tcPr>
            <w:tcW w:w="5495" w:type="dxa"/>
            <w:shd w:val="clear" w:color="auto" w:fill="BDD6EE" w:themeFill="accent1" w:themeFillTint="66"/>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r w:rsidRPr="00F573DB">
              <w:rPr>
                <w:rFonts w:eastAsiaTheme="minorHAnsi"/>
                <w:b/>
                <w:bCs/>
                <w:color w:val="auto"/>
                <w:sz w:val="22"/>
                <w:szCs w:val="22"/>
                <w:lang w:eastAsia="en-US"/>
              </w:rPr>
              <w:t xml:space="preserve"> STATUS  </w:t>
            </w:r>
          </w:p>
        </w:tc>
        <w:tc>
          <w:tcPr>
            <w:tcW w:w="1559" w:type="dxa"/>
            <w:shd w:val="clear" w:color="auto" w:fill="BDD6EE" w:themeFill="accent1" w:themeFillTint="66"/>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r w:rsidRPr="00F573DB">
              <w:rPr>
                <w:rFonts w:eastAsiaTheme="minorHAnsi"/>
                <w:b/>
                <w:bCs/>
                <w:color w:val="auto"/>
                <w:sz w:val="22"/>
                <w:szCs w:val="22"/>
                <w:lang w:eastAsia="en-US"/>
              </w:rPr>
              <w:t>VOLUME</w:t>
            </w:r>
          </w:p>
        </w:tc>
        <w:tc>
          <w:tcPr>
            <w:tcW w:w="2126" w:type="dxa"/>
            <w:shd w:val="clear" w:color="auto" w:fill="BDD6EE" w:themeFill="accent1" w:themeFillTint="66"/>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r w:rsidRPr="00F573DB">
              <w:rPr>
                <w:rFonts w:eastAsiaTheme="minorHAnsi"/>
                <w:b/>
                <w:bCs/>
                <w:color w:val="auto"/>
                <w:sz w:val="22"/>
                <w:szCs w:val="22"/>
                <w:lang w:eastAsia="en-US"/>
              </w:rPr>
              <w:t>VALUE</w:t>
            </w:r>
          </w:p>
        </w:tc>
      </w:tr>
      <w:tr w:rsidR="00F573DB" w:rsidRPr="00F573DB" w:rsidTr="00283CC1">
        <w:trPr>
          <w:trHeight w:val="300"/>
        </w:trPr>
        <w:tc>
          <w:tcPr>
            <w:tcW w:w="5495"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r w:rsidRPr="00F573DB">
              <w:rPr>
                <w:rFonts w:eastAsiaTheme="minorHAnsi"/>
                <w:b/>
                <w:bCs/>
                <w:color w:val="auto"/>
                <w:sz w:val="22"/>
                <w:szCs w:val="22"/>
                <w:lang w:eastAsia="en-US"/>
              </w:rPr>
              <w:t>Claimed through ILR R03 (4</w:t>
            </w:r>
            <w:r w:rsidRPr="00F573DB">
              <w:rPr>
                <w:rFonts w:eastAsiaTheme="minorHAnsi"/>
                <w:b/>
                <w:bCs/>
                <w:color w:val="auto"/>
                <w:sz w:val="22"/>
                <w:szCs w:val="22"/>
                <w:vertAlign w:val="superscript"/>
                <w:lang w:eastAsia="en-US"/>
              </w:rPr>
              <w:t>th</w:t>
            </w:r>
            <w:r w:rsidRPr="00F573DB">
              <w:rPr>
                <w:rFonts w:eastAsiaTheme="minorHAnsi"/>
                <w:b/>
                <w:bCs/>
                <w:color w:val="auto"/>
                <w:sz w:val="22"/>
                <w:szCs w:val="22"/>
                <w:lang w:eastAsia="en-US"/>
              </w:rPr>
              <w:t xml:space="preserve"> Nov)</w:t>
            </w:r>
          </w:p>
        </w:tc>
        <w:tc>
          <w:tcPr>
            <w:tcW w:w="1559"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r w:rsidRPr="00F573DB">
              <w:rPr>
                <w:rFonts w:eastAsiaTheme="minorHAnsi"/>
                <w:b/>
                <w:color w:val="auto"/>
                <w:sz w:val="22"/>
                <w:szCs w:val="22"/>
                <w:lang w:eastAsia="en-US"/>
              </w:rPr>
              <w:t>237</w:t>
            </w:r>
          </w:p>
        </w:tc>
        <w:tc>
          <w:tcPr>
            <w:tcW w:w="2126"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r w:rsidRPr="00F573DB">
              <w:rPr>
                <w:rFonts w:eastAsiaTheme="minorHAnsi"/>
                <w:b/>
                <w:color w:val="auto"/>
                <w:sz w:val="22"/>
                <w:szCs w:val="22"/>
                <w:lang w:eastAsia="en-US"/>
              </w:rPr>
              <w:t>£124,586.50</w:t>
            </w:r>
          </w:p>
        </w:tc>
      </w:tr>
      <w:tr w:rsidR="00F573DB" w:rsidRPr="00F573DB" w:rsidTr="00283CC1">
        <w:trPr>
          <w:trHeight w:val="300"/>
        </w:trPr>
        <w:tc>
          <w:tcPr>
            <w:tcW w:w="5495"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p>
        </w:tc>
        <w:tc>
          <w:tcPr>
            <w:tcW w:w="1559"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p>
        </w:tc>
        <w:tc>
          <w:tcPr>
            <w:tcW w:w="2126"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p>
        </w:tc>
      </w:tr>
      <w:tr w:rsidR="00F573DB" w:rsidRPr="00F573DB" w:rsidTr="00283CC1">
        <w:trPr>
          <w:trHeight w:val="300"/>
        </w:trPr>
        <w:tc>
          <w:tcPr>
            <w:tcW w:w="5495"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r w:rsidRPr="00F573DB">
              <w:rPr>
                <w:rFonts w:eastAsiaTheme="minorHAnsi"/>
                <w:b/>
                <w:bCs/>
                <w:color w:val="auto"/>
                <w:sz w:val="22"/>
                <w:szCs w:val="22"/>
                <w:lang w:eastAsia="en-US"/>
              </w:rPr>
              <w:t> Predicted to be claimed at R04 (6</w:t>
            </w:r>
            <w:r w:rsidRPr="00F573DB">
              <w:rPr>
                <w:rFonts w:eastAsiaTheme="minorHAnsi"/>
                <w:b/>
                <w:bCs/>
                <w:color w:val="auto"/>
                <w:sz w:val="22"/>
                <w:szCs w:val="22"/>
                <w:vertAlign w:val="superscript"/>
                <w:lang w:eastAsia="en-US"/>
              </w:rPr>
              <w:t>th</w:t>
            </w:r>
            <w:r w:rsidRPr="00F573DB">
              <w:rPr>
                <w:rFonts w:eastAsiaTheme="minorHAnsi"/>
                <w:b/>
                <w:bCs/>
                <w:color w:val="auto"/>
                <w:sz w:val="22"/>
                <w:szCs w:val="22"/>
                <w:lang w:eastAsia="en-US"/>
              </w:rPr>
              <w:t xml:space="preserve"> Dec)</w:t>
            </w:r>
          </w:p>
        </w:tc>
        <w:tc>
          <w:tcPr>
            <w:tcW w:w="1559"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r w:rsidRPr="00F573DB">
              <w:rPr>
                <w:rFonts w:eastAsiaTheme="minorHAnsi"/>
                <w:b/>
                <w:color w:val="auto"/>
                <w:sz w:val="22"/>
                <w:szCs w:val="22"/>
                <w:lang w:eastAsia="en-US"/>
              </w:rPr>
              <w:t>382</w:t>
            </w:r>
          </w:p>
        </w:tc>
        <w:tc>
          <w:tcPr>
            <w:tcW w:w="2126"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r w:rsidRPr="00F573DB">
              <w:rPr>
                <w:rFonts w:eastAsiaTheme="minorHAnsi"/>
                <w:b/>
                <w:color w:val="auto"/>
                <w:sz w:val="22"/>
                <w:szCs w:val="22"/>
                <w:lang w:eastAsia="en-US"/>
              </w:rPr>
              <w:t> £202,600.50</w:t>
            </w:r>
          </w:p>
        </w:tc>
      </w:tr>
      <w:tr w:rsidR="00F573DB" w:rsidRPr="00F573DB" w:rsidTr="00283CC1">
        <w:trPr>
          <w:trHeight w:val="300"/>
        </w:trPr>
        <w:tc>
          <w:tcPr>
            <w:tcW w:w="5495"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p>
        </w:tc>
        <w:tc>
          <w:tcPr>
            <w:tcW w:w="1559"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p>
        </w:tc>
        <w:tc>
          <w:tcPr>
            <w:tcW w:w="2126"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p>
        </w:tc>
      </w:tr>
      <w:tr w:rsidR="00F573DB" w:rsidRPr="00F573DB" w:rsidTr="00283CC1">
        <w:trPr>
          <w:trHeight w:val="300"/>
        </w:trPr>
        <w:tc>
          <w:tcPr>
            <w:tcW w:w="5495"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r w:rsidRPr="00F573DB">
              <w:rPr>
                <w:rFonts w:eastAsiaTheme="minorHAnsi"/>
                <w:b/>
                <w:bCs/>
                <w:color w:val="auto"/>
                <w:sz w:val="22"/>
                <w:szCs w:val="22"/>
                <w:lang w:eastAsia="en-US"/>
              </w:rPr>
              <w:t xml:space="preserve">Additional activity not yet claimed through ILR currently undergoing validation </w:t>
            </w:r>
          </w:p>
        </w:tc>
        <w:tc>
          <w:tcPr>
            <w:tcW w:w="1559"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r w:rsidRPr="00F573DB">
              <w:rPr>
                <w:rFonts w:eastAsiaTheme="minorHAnsi"/>
                <w:b/>
                <w:color w:val="auto"/>
                <w:sz w:val="22"/>
                <w:szCs w:val="22"/>
                <w:lang w:eastAsia="en-US"/>
              </w:rPr>
              <w:t>45</w:t>
            </w:r>
          </w:p>
        </w:tc>
        <w:tc>
          <w:tcPr>
            <w:tcW w:w="2126"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r w:rsidRPr="00F573DB">
              <w:rPr>
                <w:rFonts w:eastAsiaTheme="minorHAnsi"/>
                <w:b/>
                <w:color w:val="auto"/>
                <w:sz w:val="22"/>
                <w:szCs w:val="22"/>
                <w:lang w:eastAsia="en-US"/>
              </w:rPr>
              <w:t>£24,967.50</w:t>
            </w:r>
          </w:p>
        </w:tc>
      </w:tr>
      <w:tr w:rsidR="00F573DB" w:rsidRPr="00F573DB" w:rsidTr="00283CC1">
        <w:trPr>
          <w:trHeight w:val="300"/>
        </w:trPr>
        <w:tc>
          <w:tcPr>
            <w:tcW w:w="5495"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p>
        </w:tc>
        <w:tc>
          <w:tcPr>
            <w:tcW w:w="1559"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p>
        </w:tc>
        <w:tc>
          <w:tcPr>
            <w:tcW w:w="2126"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p>
        </w:tc>
      </w:tr>
      <w:tr w:rsidR="00F573DB" w:rsidRPr="00F573DB" w:rsidTr="00283CC1">
        <w:trPr>
          <w:trHeight w:val="300"/>
        </w:trPr>
        <w:tc>
          <w:tcPr>
            <w:tcW w:w="5495"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r w:rsidRPr="00F573DB">
              <w:rPr>
                <w:rFonts w:eastAsiaTheme="minorHAnsi"/>
                <w:b/>
                <w:bCs/>
                <w:color w:val="auto"/>
                <w:sz w:val="22"/>
                <w:szCs w:val="22"/>
                <w:lang w:eastAsia="en-US"/>
              </w:rPr>
              <w:t>CURRENTLY IN HAND TO BE ON R05 (6</w:t>
            </w:r>
            <w:r w:rsidRPr="00F573DB">
              <w:rPr>
                <w:rFonts w:eastAsiaTheme="minorHAnsi"/>
                <w:b/>
                <w:bCs/>
                <w:color w:val="auto"/>
                <w:sz w:val="22"/>
                <w:szCs w:val="22"/>
                <w:vertAlign w:val="superscript"/>
                <w:lang w:eastAsia="en-US"/>
              </w:rPr>
              <w:t>th</w:t>
            </w:r>
            <w:r w:rsidRPr="00F573DB">
              <w:rPr>
                <w:rFonts w:eastAsiaTheme="minorHAnsi"/>
                <w:b/>
                <w:bCs/>
                <w:color w:val="auto"/>
                <w:sz w:val="22"/>
                <w:szCs w:val="22"/>
                <w:lang w:eastAsia="en-US"/>
              </w:rPr>
              <w:t xml:space="preserve"> Jan)</w:t>
            </w:r>
          </w:p>
        </w:tc>
        <w:tc>
          <w:tcPr>
            <w:tcW w:w="1559"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r w:rsidRPr="00F573DB">
              <w:rPr>
                <w:rFonts w:eastAsiaTheme="minorHAnsi"/>
                <w:b/>
                <w:color w:val="auto"/>
                <w:sz w:val="22"/>
                <w:szCs w:val="22"/>
                <w:lang w:eastAsia="en-US"/>
              </w:rPr>
              <w:t>427</w:t>
            </w:r>
          </w:p>
        </w:tc>
        <w:tc>
          <w:tcPr>
            <w:tcW w:w="2126"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r w:rsidRPr="00F573DB">
              <w:rPr>
                <w:rFonts w:eastAsiaTheme="minorHAnsi"/>
                <w:b/>
                <w:color w:val="auto"/>
                <w:sz w:val="22"/>
                <w:szCs w:val="22"/>
                <w:lang w:eastAsia="en-US"/>
              </w:rPr>
              <w:t>£227,568.00</w:t>
            </w:r>
          </w:p>
        </w:tc>
      </w:tr>
      <w:tr w:rsidR="00F573DB" w:rsidRPr="00F573DB" w:rsidTr="00283CC1">
        <w:trPr>
          <w:trHeight w:val="300"/>
        </w:trPr>
        <w:tc>
          <w:tcPr>
            <w:tcW w:w="5495"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r w:rsidRPr="00F573DB">
              <w:rPr>
                <w:rFonts w:eastAsiaTheme="minorHAnsi"/>
                <w:b/>
                <w:bCs/>
                <w:color w:val="auto"/>
                <w:sz w:val="22"/>
                <w:szCs w:val="22"/>
                <w:lang w:eastAsia="en-US"/>
              </w:rPr>
              <w:t>SFA PROFILE AT SAME POINT</w:t>
            </w:r>
          </w:p>
        </w:tc>
        <w:tc>
          <w:tcPr>
            <w:tcW w:w="1559"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r w:rsidRPr="00F573DB">
              <w:rPr>
                <w:rFonts w:eastAsiaTheme="minorHAnsi"/>
                <w:b/>
                <w:color w:val="auto"/>
                <w:sz w:val="22"/>
                <w:szCs w:val="22"/>
                <w:lang w:eastAsia="en-US"/>
              </w:rPr>
              <w:t>1020</w:t>
            </w:r>
          </w:p>
        </w:tc>
        <w:tc>
          <w:tcPr>
            <w:tcW w:w="2126"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r w:rsidRPr="00F573DB">
              <w:rPr>
                <w:rFonts w:eastAsiaTheme="minorHAnsi"/>
                <w:b/>
                <w:color w:val="auto"/>
                <w:sz w:val="22"/>
                <w:szCs w:val="22"/>
                <w:lang w:eastAsia="en-US"/>
              </w:rPr>
              <w:t>£1,208,727.75</w:t>
            </w:r>
          </w:p>
        </w:tc>
      </w:tr>
      <w:tr w:rsidR="00F573DB" w:rsidRPr="00F573DB" w:rsidTr="00283CC1">
        <w:trPr>
          <w:trHeight w:val="300"/>
        </w:trPr>
        <w:tc>
          <w:tcPr>
            <w:tcW w:w="5495"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p>
        </w:tc>
        <w:tc>
          <w:tcPr>
            <w:tcW w:w="1559"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p>
        </w:tc>
        <w:tc>
          <w:tcPr>
            <w:tcW w:w="2126"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p>
        </w:tc>
      </w:tr>
      <w:tr w:rsidR="00F573DB" w:rsidRPr="00F573DB" w:rsidTr="00283CC1">
        <w:trPr>
          <w:trHeight w:val="300"/>
        </w:trPr>
        <w:tc>
          <w:tcPr>
            <w:tcW w:w="5495"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r w:rsidRPr="00F573DB">
              <w:rPr>
                <w:rFonts w:eastAsiaTheme="minorHAnsi"/>
                <w:b/>
                <w:bCs/>
                <w:color w:val="auto"/>
                <w:sz w:val="22"/>
                <w:szCs w:val="22"/>
                <w:lang w:eastAsia="en-US"/>
              </w:rPr>
              <w:t>Predicted committed funds from claimed / unclaimed activity</w:t>
            </w:r>
          </w:p>
        </w:tc>
        <w:tc>
          <w:tcPr>
            <w:tcW w:w="1559"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p>
        </w:tc>
        <w:tc>
          <w:tcPr>
            <w:tcW w:w="2126"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r w:rsidRPr="00F573DB">
              <w:rPr>
                <w:rFonts w:eastAsiaTheme="minorHAnsi"/>
                <w:b/>
                <w:color w:val="auto"/>
                <w:sz w:val="22"/>
                <w:szCs w:val="22"/>
                <w:lang w:eastAsia="en-US"/>
              </w:rPr>
              <w:t>£134,177.00</w:t>
            </w:r>
          </w:p>
        </w:tc>
      </w:tr>
      <w:tr w:rsidR="00F573DB" w:rsidRPr="00F573DB" w:rsidTr="00283CC1">
        <w:trPr>
          <w:trHeight w:val="272"/>
        </w:trPr>
        <w:tc>
          <w:tcPr>
            <w:tcW w:w="5495"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p>
        </w:tc>
        <w:tc>
          <w:tcPr>
            <w:tcW w:w="1559"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p>
        </w:tc>
        <w:tc>
          <w:tcPr>
            <w:tcW w:w="2126"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p>
        </w:tc>
      </w:tr>
      <w:tr w:rsidR="00F573DB" w:rsidRPr="00F573DB" w:rsidTr="00283CC1">
        <w:trPr>
          <w:trHeight w:val="300"/>
        </w:trPr>
        <w:tc>
          <w:tcPr>
            <w:tcW w:w="5495"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r w:rsidRPr="00F573DB">
              <w:rPr>
                <w:rFonts w:eastAsiaTheme="minorHAnsi"/>
                <w:b/>
                <w:bCs/>
                <w:color w:val="auto"/>
                <w:sz w:val="22"/>
                <w:szCs w:val="22"/>
                <w:lang w:eastAsia="en-US"/>
              </w:rPr>
              <w:t>TOTAL PROJECTED AT R05</w:t>
            </w:r>
          </w:p>
        </w:tc>
        <w:tc>
          <w:tcPr>
            <w:tcW w:w="1559"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r w:rsidRPr="00F573DB">
              <w:rPr>
                <w:rFonts w:eastAsiaTheme="minorHAnsi"/>
                <w:b/>
                <w:color w:val="auto"/>
                <w:sz w:val="22"/>
                <w:szCs w:val="22"/>
                <w:lang w:eastAsia="en-US"/>
              </w:rPr>
              <w:t>427</w:t>
            </w:r>
          </w:p>
        </w:tc>
        <w:tc>
          <w:tcPr>
            <w:tcW w:w="2126" w:type="dxa"/>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b/>
                <w:color w:val="auto"/>
                <w:sz w:val="22"/>
                <w:szCs w:val="22"/>
                <w:lang w:eastAsia="en-US"/>
              </w:rPr>
            </w:pPr>
            <w:r w:rsidRPr="00F573DB">
              <w:rPr>
                <w:rFonts w:eastAsiaTheme="minorHAnsi"/>
                <w:b/>
                <w:color w:val="auto"/>
                <w:sz w:val="22"/>
                <w:szCs w:val="22"/>
                <w:lang w:eastAsia="en-US"/>
              </w:rPr>
              <w:t>£361,745.00</w:t>
            </w:r>
          </w:p>
        </w:tc>
      </w:tr>
    </w:tbl>
    <w:p w:rsidR="00F573DB" w:rsidRPr="00F573DB" w:rsidRDefault="00F573DB" w:rsidP="00F573DB">
      <w:pPr>
        <w:spacing w:after="160" w:line="256" w:lineRule="auto"/>
        <w:ind w:left="0" w:firstLine="0"/>
        <w:jc w:val="both"/>
        <w:rPr>
          <w:rFonts w:eastAsiaTheme="minorHAnsi"/>
          <w:color w:val="auto"/>
          <w:sz w:val="22"/>
          <w:szCs w:val="22"/>
          <w:lang w:eastAsia="en-US"/>
        </w:rPr>
      </w:pPr>
    </w:p>
    <w:p w:rsidR="00F573DB" w:rsidRPr="00F573DB" w:rsidRDefault="00F573DB" w:rsidP="00F573DB">
      <w:pPr>
        <w:spacing w:after="160" w:line="256" w:lineRule="auto"/>
        <w:ind w:left="0" w:firstLine="0"/>
        <w:jc w:val="both"/>
        <w:rPr>
          <w:rFonts w:eastAsiaTheme="minorHAnsi"/>
          <w:color w:val="auto"/>
          <w:sz w:val="22"/>
          <w:szCs w:val="22"/>
          <w:lang w:eastAsia="en-US"/>
        </w:rPr>
      </w:pPr>
      <w:r w:rsidRPr="00F573DB">
        <w:rPr>
          <w:rFonts w:eastAsiaTheme="minorHAnsi"/>
          <w:color w:val="auto"/>
          <w:sz w:val="22"/>
          <w:szCs w:val="22"/>
          <w:lang w:eastAsia="en-US"/>
        </w:rPr>
        <w:t>If we factor in the 3 to 4 month lag from delivery to claim and compare actual delivery to profiles in the months in which that delivery has actually taken place, the picture is much improved as shown in example below:</w:t>
      </w:r>
    </w:p>
    <w:tbl>
      <w:tblPr>
        <w:tblStyle w:val="TableGrid"/>
        <w:tblW w:w="0" w:type="auto"/>
        <w:tblLook w:val="04A0" w:firstRow="1" w:lastRow="0" w:firstColumn="1" w:lastColumn="0" w:noHBand="0" w:noVBand="1"/>
      </w:tblPr>
      <w:tblGrid>
        <w:gridCol w:w="1817"/>
        <w:gridCol w:w="5101"/>
        <w:gridCol w:w="2098"/>
      </w:tblGrid>
      <w:tr w:rsidR="00F573DB" w:rsidRPr="00F573DB" w:rsidTr="00283CC1">
        <w:tc>
          <w:tcPr>
            <w:tcW w:w="1848" w:type="dxa"/>
            <w:shd w:val="clear" w:color="auto" w:fill="BDD6EE" w:themeFill="accent1" w:themeFillTint="66"/>
          </w:tcPr>
          <w:p w:rsidR="00F573DB" w:rsidRPr="00F573DB" w:rsidRDefault="00F573DB" w:rsidP="00F573DB">
            <w:pPr>
              <w:spacing w:after="0" w:line="256" w:lineRule="auto"/>
              <w:ind w:left="0" w:firstLine="0"/>
              <w:jc w:val="both"/>
              <w:rPr>
                <w:rFonts w:eastAsiaTheme="minorHAnsi"/>
                <w:b/>
                <w:color w:val="auto"/>
                <w:sz w:val="22"/>
                <w:szCs w:val="22"/>
                <w:lang w:eastAsia="en-US"/>
              </w:rPr>
            </w:pPr>
          </w:p>
        </w:tc>
        <w:tc>
          <w:tcPr>
            <w:tcW w:w="5206" w:type="dxa"/>
            <w:shd w:val="clear" w:color="auto" w:fill="BDD6EE" w:themeFill="accent1" w:themeFillTint="66"/>
          </w:tcPr>
          <w:p w:rsidR="00F573DB" w:rsidRPr="00F573DB" w:rsidRDefault="00F573DB" w:rsidP="00F573DB">
            <w:pPr>
              <w:spacing w:after="0" w:line="256" w:lineRule="auto"/>
              <w:ind w:left="0" w:firstLine="0"/>
              <w:jc w:val="both"/>
              <w:rPr>
                <w:rFonts w:eastAsiaTheme="minorHAnsi"/>
                <w:b/>
                <w:color w:val="auto"/>
                <w:sz w:val="22"/>
                <w:szCs w:val="22"/>
                <w:lang w:eastAsia="en-US"/>
              </w:rPr>
            </w:pPr>
          </w:p>
          <w:p w:rsidR="00F573DB" w:rsidRPr="00F573DB" w:rsidRDefault="00F573DB" w:rsidP="00F573DB">
            <w:pPr>
              <w:spacing w:after="0" w:line="256" w:lineRule="auto"/>
              <w:ind w:left="0" w:firstLine="0"/>
              <w:jc w:val="both"/>
              <w:rPr>
                <w:rFonts w:eastAsiaTheme="minorHAnsi"/>
                <w:b/>
                <w:color w:val="auto"/>
                <w:sz w:val="22"/>
                <w:szCs w:val="22"/>
                <w:lang w:eastAsia="en-US"/>
              </w:rPr>
            </w:pPr>
            <w:r w:rsidRPr="00F573DB">
              <w:rPr>
                <w:rFonts w:eastAsiaTheme="minorHAnsi"/>
                <w:b/>
                <w:color w:val="auto"/>
                <w:sz w:val="22"/>
                <w:szCs w:val="22"/>
                <w:lang w:eastAsia="en-US"/>
              </w:rPr>
              <w:t xml:space="preserve">SFA Cumulative profile </w:t>
            </w:r>
          </w:p>
        </w:tc>
        <w:tc>
          <w:tcPr>
            <w:tcW w:w="2126" w:type="dxa"/>
            <w:shd w:val="clear" w:color="auto" w:fill="BDD6EE" w:themeFill="accent1" w:themeFillTint="66"/>
          </w:tcPr>
          <w:p w:rsidR="00F573DB" w:rsidRPr="00F573DB" w:rsidRDefault="00F573DB" w:rsidP="00F573DB">
            <w:pPr>
              <w:spacing w:after="0" w:line="256" w:lineRule="auto"/>
              <w:ind w:left="0" w:firstLine="0"/>
              <w:jc w:val="both"/>
              <w:rPr>
                <w:rFonts w:eastAsiaTheme="minorHAnsi"/>
                <w:b/>
                <w:color w:val="auto"/>
                <w:sz w:val="22"/>
                <w:szCs w:val="22"/>
                <w:lang w:eastAsia="en-US"/>
              </w:rPr>
            </w:pPr>
          </w:p>
          <w:p w:rsidR="00F573DB" w:rsidRPr="00F573DB" w:rsidRDefault="00F573DB" w:rsidP="00F573DB">
            <w:pPr>
              <w:spacing w:after="0" w:line="256" w:lineRule="auto"/>
              <w:ind w:left="0" w:firstLine="0"/>
              <w:jc w:val="both"/>
              <w:rPr>
                <w:rFonts w:eastAsiaTheme="minorHAnsi"/>
                <w:b/>
                <w:color w:val="auto"/>
                <w:sz w:val="22"/>
                <w:szCs w:val="22"/>
                <w:lang w:eastAsia="en-US"/>
              </w:rPr>
            </w:pPr>
            <w:r w:rsidRPr="00F573DB">
              <w:rPr>
                <w:rFonts w:eastAsiaTheme="minorHAnsi"/>
                <w:b/>
                <w:color w:val="auto"/>
                <w:sz w:val="22"/>
                <w:szCs w:val="22"/>
                <w:lang w:eastAsia="en-US"/>
              </w:rPr>
              <w:t xml:space="preserve">Forecast </w:t>
            </w:r>
          </w:p>
        </w:tc>
      </w:tr>
      <w:tr w:rsidR="00F573DB" w:rsidRPr="00F573DB" w:rsidTr="00283CC1">
        <w:trPr>
          <w:trHeight w:val="439"/>
        </w:trPr>
        <w:tc>
          <w:tcPr>
            <w:tcW w:w="1848" w:type="dxa"/>
          </w:tcPr>
          <w:p w:rsidR="00F573DB" w:rsidRPr="00F573DB" w:rsidRDefault="00F573DB" w:rsidP="00F573DB">
            <w:pPr>
              <w:spacing w:after="0" w:line="256" w:lineRule="auto"/>
              <w:ind w:left="0" w:firstLine="0"/>
              <w:jc w:val="both"/>
              <w:rPr>
                <w:rFonts w:eastAsiaTheme="minorHAnsi"/>
                <w:b/>
                <w:color w:val="auto"/>
                <w:sz w:val="22"/>
                <w:szCs w:val="22"/>
                <w:lang w:eastAsia="en-US"/>
              </w:rPr>
            </w:pPr>
            <w:r w:rsidRPr="00F573DB">
              <w:rPr>
                <w:rFonts w:eastAsiaTheme="minorHAnsi"/>
                <w:b/>
                <w:color w:val="auto"/>
                <w:sz w:val="22"/>
                <w:szCs w:val="22"/>
                <w:lang w:eastAsia="en-US"/>
              </w:rPr>
              <w:t>AUG 2016</w:t>
            </w:r>
          </w:p>
        </w:tc>
        <w:tc>
          <w:tcPr>
            <w:tcW w:w="5206" w:type="dxa"/>
          </w:tcPr>
          <w:p w:rsidR="00F573DB" w:rsidRPr="00F573DB" w:rsidRDefault="00F573DB" w:rsidP="00F573DB">
            <w:pPr>
              <w:spacing w:after="0" w:line="256" w:lineRule="auto"/>
              <w:ind w:left="0" w:firstLine="0"/>
              <w:jc w:val="both"/>
              <w:rPr>
                <w:rFonts w:eastAsiaTheme="minorHAnsi"/>
                <w:b/>
                <w:color w:val="auto"/>
                <w:sz w:val="22"/>
                <w:szCs w:val="22"/>
                <w:lang w:eastAsia="en-US"/>
              </w:rPr>
            </w:pPr>
            <w:r w:rsidRPr="00F573DB">
              <w:rPr>
                <w:rFonts w:eastAsiaTheme="minorHAnsi"/>
                <w:b/>
                <w:color w:val="auto"/>
                <w:sz w:val="22"/>
                <w:szCs w:val="22"/>
                <w:lang w:eastAsia="en-US"/>
              </w:rPr>
              <w:t>£260,262.00</w:t>
            </w:r>
          </w:p>
        </w:tc>
        <w:tc>
          <w:tcPr>
            <w:tcW w:w="2126" w:type="dxa"/>
          </w:tcPr>
          <w:p w:rsidR="00F573DB" w:rsidRPr="00F573DB" w:rsidRDefault="00F573DB" w:rsidP="00F573DB">
            <w:pPr>
              <w:spacing w:after="0" w:line="256" w:lineRule="auto"/>
              <w:ind w:left="0" w:firstLine="0"/>
              <w:jc w:val="both"/>
              <w:rPr>
                <w:rFonts w:eastAsiaTheme="minorHAnsi"/>
                <w:b/>
                <w:color w:val="auto"/>
                <w:sz w:val="22"/>
                <w:szCs w:val="22"/>
                <w:lang w:eastAsia="en-US"/>
              </w:rPr>
            </w:pPr>
            <w:r w:rsidRPr="00F573DB">
              <w:rPr>
                <w:rFonts w:eastAsiaTheme="minorHAnsi"/>
                <w:b/>
                <w:color w:val="auto"/>
                <w:sz w:val="22"/>
                <w:szCs w:val="22"/>
                <w:lang w:eastAsia="en-US"/>
              </w:rPr>
              <w:t>87%</w:t>
            </w:r>
          </w:p>
        </w:tc>
      </w:tr>
    </w:tbl>
    <w:p w:rsidR="00F573DB" w:rsidRPr="00F573DB" w:rsidRDefault="00F573DB" w:rsidP="00F573DB">
      <w:pPr>
        <w:spacing w:after="160" w:line="256" w:lineRule="auto"/>
        <w:ind w:left="-142" w:firstLine="0"/>
        <w:contextualSpacing/>
        <w:rPr>
          <w:rFonts w:eastAsiaTheme="minorHAnsi"/>
          <w:color w:val="auto"/>
          <w:sz w:val="22"/>
          <w:szCs w:val="22"/>
          <w:lang w:eastAsia="en-US"/>
        </w:rPr>
      </w:pPr>
    </w:p>
    <w:p w:rsidR="00F573DB" w:rsidRPr="00F573DB" w:rsidRDefault="00F573DB" w:rsidP="00F573DB">
      <w:pPr>
        <w:spacing w:after="160" w:line="256" w:lineRule="auto"/>
        <w:ind w:left="-142" w:firstLine="0"/>
        <w:contextualSpacing/>
        <w:rPr>
          <w:rFonts w:eastAsiaTheme="minorHAnsi"/>
          <w:color w:val="auto"/>
          <w:sz w:val="22"/>
          <w:szCs w:val="22"/>
          <w:lang w:eastAsia="en-US"/>
        </w:rPr>
      </w:pPr>
      <w:r w:rsidRPr="00F573DB">
        <w:rPr>
          <w:rFonts w:eastAsiaTheme="minorHAnsi"/>
          <w:color w:val="auto"/>
          <w:sz w:val="22"/>
          <w:szCs w:val="22"/>
          <w:lang w:eastAsia="en-US"/>
        </w:rPr>
        <w:t>This indicates that the issue is one of delayed claims rather than actual partner under delivery.</w:t>
      </w:r>
    </w:p>
    <w:p w:rsidR="00F573DB" w:rsidRPr="00F573DB" w:rsidRDefault="00F573DB" w:rsidP="00F573DB">
      <w:pPr>
        <w:spacing w:after="160" w:line="256" w:lineRule="auto"/>
        <w:ind w:left="-142" w:firstLine="0"/>
        <w:contextualSpacing/>
        <w:rPr>
          <w:rFonts w:eastAsiaTheme="minorHAnsi"/>
          <w:color w:val="auto"/>
          <w:sz w:val="22"/>
          <w:szCs w:val="22"/>
          <w:lang w:eastAsia="en-US"/>
        </w:rPr>
      </w:pPr>
    </w:p>
    <w:p w:rsidR="00F573DB" w:rsidRPr="00F573DB" w:rsidRDefault="00F573DB" w:rsidP="00F573DB">
      <w:pPr>
        <w:spacing w:after="160" w:line="256" w:lineRule="auto"/>
        <w:ind w:left="-142" w:firstLine="0"/>
        <w:contextualSpacing/>
        <w:rPr>
          <w:rFonts w:eastAsiaTheme="minorHAnsi"/>
          <w:color w:val="auto"/>
          <w:sz w:val="22"/>
          <w:szCs w:val="22"/>
          <w:lang w:eastAsia="en-US"/>
        </w:rPr>
      </w:pPr>
    </w:p>
    <w:p w:rsidR="00F573DB" w:rsidRPr="00F573DB" w:rsidRDefault="00F573DB" w:rsidP="00F573DB">
      <w:pPr>
        <w:spacing w:after="160" w:line="256" w:lineRule="auto"/>
        <w:ind w:left="-142" w:firstLine="0"/>
        <w:contextualSpacing/>
        <w:rPr>
          <w:rFonts w:eastAsiaTheme="minorHAnsi"/>
          <w:color w:val="auto"/>
          <w:sz w:val="22"/>
          <w:szCs w:val="22"/>
          <w:lang w:eastAsia="en-US"/>
        </w:rPr>
      </w:pPr>
    </w:p>
    <w:p w:rsidR="00F573DB" w:rsidRPr="00F573DB" w:rsidRDefault="00F573DB" w:rsidP="00F573DB">
      <w:pPr>
        <w:spacing w:after="160" w:line="256" w:lineRule="auto"/>
        <w:ind w:left="-142" w:firstLine="0"/>
        <w:contextualSpacing/>
        <w:rPr>
          <w:rFonts w:eastAsiaTheme="minorHAnsi"/>
          <w:color w:val="auto"/>
          <w:sz w:val="22"/>
          <w:szCs w:val="22"/>
          <w:lang w:eastAsia="en-US"/>
        </w:rPr>
      </w:pPr>
    </w:p>
    <w:p w:rsidR="00F573DB" w:rsidRPr="00F573DB" w:rsidRDefault="00F573DB" w:rsidP="00F573DB">
      <w:pPr>
        <w:spacing w:after="160" w:line="256" w:lineRule="auto"/>
        <w:ind w:left="-142" w:firstLine="0"/>
        <w:contextualSpacing/>
        <w:rPr>
          <w:rFonts w:eastAsiaTheme="minorHAnsi"/>
          <w:color w:val="auto"/>
          <w:sz w:val="22"/>
          <w:szCs w:val="22"/>
          <w:lang w:eastAsia="en-US"/>
        </w:rPr>
      </w:pPr>
    </w:p>
    <w:p w:rsidR="00F573DB" w:rsidRPr="00F573DB" w:rsidRDefault="00F573DB" w:rsidP="00F573DB">
      <w:pPr>
        <w:spacing w:after="160" w:line="256" w:lineRule="auto"/>
        <w:ind w:left="-142" w:firstLine="0"/>
        <w:contextualSpacing/>
        <w:rPr>
          <w:rFonts w:eastAsiaTheme="minorHAnsi"/>
          <w:color w:val="auto"/>
          <w:sz w:val="22"/>
          <w:szCs w:val="22"/>
          <w:lang w:eastAsia="en-US"/>
        </w:rPr>
      </w:pPr>
    </w:p>
    <w:p w:rsidR="00F573DB" w:rsidRPr="00F573DB" w:rsidRDefault="00F573DB" w:rsidP="00F573DB">
      <w:pPr>
        <w:spacing w:after="160" w:line="256" w:lineRule="auto"/>
        <w:ind w:left="-142" w:firstLine="0"/>
        <w:contextualSpacing/>
        <w:rPr>
          <w:rFonts w:eastAsiaTheme="minorHAnsi"/>
          <w:color w:val="auto"/>
          <w:sz w:val="22"/>
          <w:szCs w:val="22"/>
          <w:lang w:eastAsia="en-US"/>
        </w:rPr>
      </w:pPr>
    </w:p>
    <w:p w:rsidR="00F573DB" w:rsidRPr="00F573DB" w:rsidRDefault="00F573DB" w:rsidP="00F573DB">
      <w:pPr>
        <w:spacing w:after="160" w:line="256" w:lineRule="auto"/>
        <w:ind w:left="-142" w:firstLine="0"/>
        <w:contextualSpacing/>
        <w:rPr>
          <w:rFonts w:eastAsiaTheme="minorHAnsi"/>
          <w:color w:val="auto"/>
          <w:sz w:val="22"/>
          <w:szCs w:val="22"/>
          <w:lang w:eastAsia="en-US"/>
        </w:rPr>
      </w:pPr>
    </w:p>
    <w:p w:rsidR="00F573DB" w:rsidRPr="00F573DB" w:rsidRDefault="00F573DB" w:rsidP="00F573DB">
      <w:pPr>
        <w:spacing w:after="160" w:line="256" w:lineRule="auto"/>
        <w:ind w:left="-142" w:firstLine="0"/>
        <w:contextualSpacing/>
        <w:rPr>
          <w:rFonts w:eastAsiaTheme="minorHAnsi"/>
          <w:color w:val="auto"/>
          <w:sz w:val="22"/>
          <w:szCs w:val="22"/>
          <w:lang w:eastAsia="en-US"/>
        </w:rPr>
      </w:pPr>
    </w:p>
    <w:p w:rsidR="00F573DB" w:rsidRPr="00F573DB" w:rsidRDefault="00F573DB" w:rsidP="00F573DB">
      <w:pPr>
        <w:spacing w:after="160" w:line="256" w:lineRule="auto"/>
        <w:ind w:left="-142" w:firstLine="0"/>
        <w:contextualSpacing/>
        <w:rPr>
          <w:rFonts w:eastAsiaTheme="minorHAnsi"/>
          <w:color w:val="auto"/>
          <w:sz w:val="22"/>
          <w:szCs w:val="22"/>
          <w:lang w:eastAsia="en-US"/>
        </w:rPr>
      </w:pPr>
    </w:p>
    <w:p w:rsidR="00F573DB" w:rsidRPr="00F573DB" w:rsidRDefault="00F573DB" w:rsidP="00F573DB">
      <w:pPr>
        <w:spacing w:after="160" w:line="256" w:lineRule="auto"/>
        <w:ind w:left="-142" w:firstLine="0"/>
        <w:contextualSpacing/>
        <w:rPr>
          <w:rFonts w:eastAsiaTheme="minorHAnsi"/>
          <w:color w:val="auto"/>
          <w:sz w:val="22"/>
          <w:szCs w:val="22"/>
          <w:lang w:eastAsia="en-US"/>
        </w:rPr>
      </w:pPr>
    </w:p>
    <w:p w:rsidR="00F573DB" w:rsidRPr="00F573DB" w:rsidRDefault="00F573DB" w:rsidP="00F573DB">
      <w:pPr>
        <w:spacing w:after="160" w:line="256" w:lineRule="auto"/>
        <w:ind w:left="-142" w:firstLine="0"/>
        <w:contextualSpacing/>
        <w:rPr>
          <w:rFonts w:eastAsiaTheme="minorHAnsi"/>
          <w:color w:val="auto"/>
          <w:sz w:val="22"/>
          <w:szCs w:val="22"/>
          <w:lang w:eastAsia="en-US"/>
        </w:rPr>
      </w:pPr>
    </w:p>
    <w:p w:rsidR="00F573DB" w:rsidRPr="00F573DB" w:rsidRDefault="00F573DB" w:rsidP="00F573DB">
      <w:pPr>
        <w:spacing w:after="160" w:line="256" w:lineRule="auto"/>
        <w:ind w:left="-142" w:firstLine="0"/>
        <w:contextualSpacing/>
        <w:rPr>
          <w:rFonts w:eastAsiaTheme="minorHAnsi"/>
          <w:color w:val="auto"/>
          <w:sz w:val="22"/>
          <w:szCs w:val="22"/>
          <w:lang w:eastAsia="en-US"/>
        </w:rPr>
      </w:pPr>
    </w:p>
    <w:p w:rsidR="00F573DB" w:rsidRPr="00F573DB" w:rsidRDefault="00F573DB" w:rsidP="00F573DB">
      <w:pPr>
        <w:spacing w:after="160" w:line="256" w:lineRule="auto"/>
        <w:ind w:left="-142" w:firstLine="0"/>
        <w:contextualSpacing/>
        <w:rPr>
          <w:rFonts w:eastAsiaTheme="minorHAnsi"/>
          <w:color w:val="auto"/>
          <w:sz w:val="22"/>
          <w:szCs w:val="22"/>
          <w:lang w:eastAsia="en-US"/>
        </w:rPr>
      </w:pPr>
    </w:p>
    <w:p w:rsidR="00F573DB" w:rsidRPr="00F573DB" w:rsidRDefault="00F573DB" w:rsidP="00F573DB">
      <w:pPr>
        <w:spacing w:after="160" w:line="256" w:lineRule="auto"/>
        <w:ind w:left="-142" w:firstLine="0"/>
        <w:contextualSpacing/>
        <w:rPr>
          <w:rFonts w:eastAsiaTheme="minorHAnsi"/>
          <w:color w:val="auto"/>
          <w:sz w:val="22"/>
          <w:szCs w:val="22"/>
          <w:lang w:eastAsia="en-US"/>
        </w:rPr>
      </w:pPr>
    </w:p>
    <w:p w:rsidR="00F573DB" w:rsidRPr="00F573DB" w:rsidRDefault="00F573DB" w:rsidP="00F573DB">
      <w:pPr>
        <w:spacing w:after="160" w:line="256" w:lineRule="auto"/>
        <w:ind w:left="-142" w:firstLine="0"/>
        <w:contextualSpacing/>
        <w:rPr>
          <w:rFonts w:eastAsiaTheme="minorHAnsi"/>
          <w:color w:val="auto"/>
          <w:sz w:val="22"/>
          <w:szCs w:val="22"/>
          <w:lang w:eastAsia="en-US"/>
        </w:rPr>
      </w:pPr>
    </w:p>
    <w:p w:rsidR="00F573DB" w:rsidRPr="00F573DB" w:rsidRDefault="00F573DB" w:rsidP="00F573DB">
      <w:pPr>
        <w:spacing w:after="160" w:line="256" w:lineRule="auto"/>
        <w:ind w:left="-142" w:firstLine="0"/>
        <w:contextualSpacing/>
        <w:rPr>
          <w:rFonts w:eastAsiaTheme="minorHAnsi"/>
          <w:color w:val="auto"/>
          <w:sz w:val="22"/>
          <w:szCs w:val="22"/>
          <w:lang w:eastAsia="en-US"/>
        </w:rPr>
      </w:pPr>
    </w:p>
    <w:p w:rsidR="00F573DB" w:rsidRPr="00F573DB" w:rsidRDefault="00F573DB" w:rsidP="00F573DB">
      <w:pPr>
        <w:spacing w:after="160" w:line="256" w:lineRule="auto"/>
        <w:ind w:left="-142" w:firstLine="0"/>
        <w:contextualSpacing/>
        <w:rPr>
          <w:rFonts w:eastAsiaTheme="minorHAnsi"/>
          <w:color w:val="auto"/>
          <w:sz w:val="22"/>
          <w:szCs w:val="22"/>
          <w:lang w:eastAsia="en-US"/>
        </w:rPr>
      </w:pPr>
      <w:r w:rsidRPr="00F573DB">
        <w:rPr>
          <w:rFonts w:eastAsiaTheme="minorHAnsi"/>
          <w:color w:val="auto"/>
          <w:sz w:val="22"/>
          <w:szCs w:val="22"/>
          <w:lang w:eastAsia="en-US"/>
        </w:rPr>
        <w:t>Actions to improve this and ensure Jan 6</w:t>
      </w:r>
      <w:r w:rsidRPr="00F573DB">
        <w:rPr>
          <w:rFonts w:eastAsiaTheme="minorHAnsi"/>
          <w:color w:val="auto"/>
          <w:sz w:val="22"/>
          <w:szCs w:val="22"/>
          <w:vertAlign w:val="superscript"/>
          <w:lang w:eastAsia="en-US"/>
        </w:rPr>
        <w:t>th</w:t>
      </w:r>
      <w:r w:rsidRPr="00F573DB">
        <w:rPr>
          <w:rFonts w:eastAsiaTheme="minorHAnsi"/>
          <w:color w:val="auto"/>
          <w:sz w:val="22"/>
          <w:szCs w:val="22"/>
          <w:lang w:eastAsia="en-US"/>
        </w:rPr>
        <w:t xml:space="preserve"> claim is maximised are:</w:t>
      </w:r>
    </w:p>
    <w:tbl>
      <w:tblPr>
        <w:tblStyle w:val="TableGrid"/>
        <w:tblpPr w:leftFromText="180" w:rightFromText="180" w:vertAnchor="text" w:horzAnchor="margin" w:tblpY="87"/>
        <w:tblW w:w="9180" w:type="dxa"/>
        <w:tblLayout w:type="fixed"/>
        <w:tblLook w:val="04A0" w:firstRow="1" w:lastRow="0" w:firstColumn="1" w:lastColumn="0" w:noHBand="0" w:noVBand="1"/>
      </w:tblPr>
      <w:tblGrid>
        <w:gridCol w:w="675"/>
        <w:gridCol w:w="5670"/>
        <w:gridCol w:w="2835"/>
      </w:tblGrid>
      <w:tr w:rsidR="00F573DB" w:rsidRPr="00F573DB" w:rsidTr="00283CC1">
        <w:tc>
          <w:tcPr>
            <w:tcW w:w="675" w:type="dxa"/>
            <w:shd w:val="clear" w:color="auto" w:fill="BDD6EE" w:themeFill="accent1" w:themeFillTint="66"/>
          </w:tcPr>
          <w:p w:rsidR="00F573DB" w:rsidRPr="00F573DB" w:rsidRDefault="00F573DB" w:rsidP="00F573DB">
            <w:pPr>
              <w:spacing w:after="0" w:line="240" w:lineRule="auto"/>
              <w:ind w:left="0" w:firstLine="0"/>
              <w:rPr>
                <w:rFonts w:eastAsiaTheme="minorHAnsi"/>
                <w:b/>
                <w:color w:val="auto"/>
                <w:sz w:val="22"/>
                <w:szCs w:val="22"/>
                <w:lang w:eastAsia="en-US"/>
              </w:rPr>
            </w:pPr>
          </w:p>
        </w:tc>
        <w:tc>
          <w:tcPr>
            <w:tcW w:w="5670" w:type="dxa"/>
            <w:shd w:val="clear" w:color="auto" w:fill="BDD6EE" w:themeFill="accent1" w:themeFillTint="66"/>
          </w:tcPr>
          <w:p w:rsidR="00F573DB" w:rsidRPr="00F573DB" w:rsidRDefault="00F573DB" w:rsidP="00F573DB">
            <w:pPr>
              <w:spacing w:after="0" w:line="240" w:lineRule="auto"/>
              <w:ind w:left="0" w:firstLine="0"/>
              <w:rPr>
                <w:rFonts w:eastAsiaTheme="minorHAnsi"/>
                <w:b/>
                <w:color w:val="auto"/>
                <w:sz w:val="22"/>
                <w:szCs w:val="22"/>
                <w:lang w:eastAsia="en-US"/>
              </w:rPr>
            </w:pPr>
            <w:r w:rsidRPr="00F573DB">
              <w:rPr>
                <w:rFonts w:eastAsiaTheme="minorHAnsi"/>
                <w:b/>
                <w:color w:val="auto"/>
                <w:sz w:val="22"/>
                <w:szCs w:val="22"/>
                <w:lang w:eastAsia="en-US"/>
              </w:rPr>
              <w:t xml:space="preserve">Claim Improvement Plan </w:t>
            </w:r>
          </w:p>
        </w:tc>
        <w:tc>
          <w:tcPr>
            <w:tcW w:w="2835" w:type="dxa"/>
            <w:shd w:val="clear" w:color="auto" w:fill="BDD6EE" w:themeFill="accent1" w:themeFillTint="66"/>
          </w:tcPr>
          <w:p w:rsidR="00F573DB" w:rsidRPr="00F573DB" w:rsidRDefault="00F573DB" w:rsidP="00F573DB">
            <w:pPr>
              <w:spacing w:after="0" w:line="240" w:lineRule="auto"/>
              <w:ind w:left="0" w:firstLine="0"/>
              <w:rPr>
                <w:rFonts w:eastAsiaTheme="minorHAnsi"/>
                <w:b/>
                <w:color w:val="auto"/>
                <w:sz w:val="22"/>
                <w:szCs w:val="22"/>
                <w:lang w:eastAsia="en-US"/>
              </w:rPr>
            </w:pPr>
            <w:r w:rsidRPr="00F573DB">
              <w:rPr>
                <w:rFonts w:eastAsiaTheme="minorHAnsi"/>
                <w:b/>
                <w:color w:val="auto"/>
                <w:sz w:val="22"/>
                <w:szCs w:val="22"/>
                <w:lang w:eastAsia="en-US"/>
              </w:rPr>
              <w:t xml:space="preserve">Responsibility </w:t>
            </w:r>
          </w:p>
          <w:p w:rsidR="00F573DB" w:rsidRPr="00F573DB" w:rsidRDefault="00F573DB" w:rsidP="00F573DB">
            <w:pPr>
              <w:spacing w:after="0" w:line="240" w:lineRule="auto"/>
              <w:ind w:left="0" w:firstLine="0"/>
              <w:rPr>
                <w:rFonts w:eastAsiaTheme="minorHAnsi"/>
                <w:b/>
                <w:color w:val="auto"/>
                <w:sz w:val="22"/>
                <w:szCs w:val="22"/>
                <w:lang w:eastAsia="en-US"/>
              </w:rPr>
            </w:pPr>
          </w:p>
        </w:tc>
      </w:tr>
      <w:tr w:rsidR="00F573DB" w:rsidRPr="00F573DB" w:rsidTr="00283CC1">
        <w:tc>
          <w:tcPr>
            <w:tcW w:w="675" w:type="dxa"/>
          </w:tcPr>
          <w:p w:rsidR="00F573DB" w:rsidRPr="00F573DB" w:rsidRDefault="00F573DB" w:rsidP="00F573DB">
            <w:pPr>
              <w:spacing w:after="0" w:line="240" w:lineRule="auto"/>
              <w:ind w:left="0" w:firstLine="0"/>
              <w:rPr>
                <w:rFonts w:eastAsiaTheme="minorHAnsi"/>
                <w:b/>
                <w:color w:val="auto"/>
                <w:sz w:val="22"/>
                <w:szCs w:val="22"/>
                <w:lang w:eastAsia="en-US"/>
              </w:rPr>
            </w:pPr>
            <w:r w:rsidRPr="00F573DB">
              <w:rPr>
                <w:rFonts w:eastAsiaTheme="minorHAnsi"/>
                <w:b/>
                <w:color w:val="auto"/>
                <w:sz w:val="22"/>
                <w:szCs w:val="22"/>
                <w:lang w:eastAsia="en-US"/>
              </w:rPr>
              <w:t>1.</w:t>
            </w:r>
          </w:p>
          <w:p w:rsidR="00F573DB" w:rsidRPr="00F573DB" w:rsidRDefault="00F573DB" w:rsidP="00F573DB">
            <w:pPr>
              <w:spacing w:after="0" w:line="240" w:lineRule="auto"/>
              <w:ind w:left="0" w:firstLine="0"/>
              <w:rPr>
                <w:rFonts w:eastAsiaTheme="minorHAnsi"/>
                <w:b/>
                <w:color w:val="auto"/>
                <w:sz w:val="22"/>
                <w:szCs w:val="22"/>
                <w:lang w:eastAsia="en-US"/>
              </w:rPr>
            </w:pPr>
          </w:p>
        </w:tc>
        <w:tc>
          <w:tcPr>
            <w:tcW w:w="5670"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 xml:space="preserve">Analysis of full amounts of delivery evidence with partners and not yet at claimable point and actions to process immediately </w:t>
            </w:r>
          </w:p>
        </w:tc>
        <w:tc>
          <w:tcPr>
            <w:tcW w:w="2835"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 xml:space="preserve">LAB P&amp;C Co-ordinator </w:t>
            </w:r>
          </w:p>
        </w:tc>
      </w:tr>
      <w:tr w:rsidR="00F573DB" w:rsidRPr="00F573DB" w:rsidTr="00283CC1">
        <w:tc>
          <w:tcPr>
            <w:tcW w:w="675" w:type="dxa"/>
          </w:tcPr>
          <w:p w:rsidR="00F573DB" w:rsidRPr="00F573DB" w:rsidRDefault="00F573DB" w:rsidP="00F573DB">
            <w:pPr>
              <w:spacing w:after="0" w:line="240" w:lineRule="auto"/>
              <w:ind w:left="0" w:firstLine="0"/>
              <w:rPr>
                <w:rFonts w:eastAsiaTheme="minorHAnsi"/>
                <w:b/>
                <w:color w:val="auto"/>
                <w:sz w:val="22"/>
                <w:szCs w:val="22"/>
                <w:lang w:eastAsia="en-US"/>
              </w:rPr>
            </w:pPr>
            <w:r w:rsidRPr="00F573DB">
              <w:rPr>
                <w:rFonts w:eastAsiaTheme="minorHAnsi"/>
                <w:b/>
                <w:color w:val="auto"/>
                <w:sz w:val="22"/>
                <w:szCs w:val="22"/>
                <w:lang w:eastAsia="en-US"/>
              </w:rPr>
              <w:t>2.</w:t>
            </w:r>
          </w:p>
        </w:tc>
        <w:tc>
          <w:tcPr>
            <w:tcW w:w="5670"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 xml:space="preserve">Engage with Principals and CEO’s to ensure full understanding of significance of PMP and potential impact of under reporting delivery through claim lag  </w:t>
            </w:r>
          </w:p>
        </w:tc>
        <w:tc>
          <w:tcPr>
            <w:tcW w:w="2835"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Lancashire Employment and Skills Executive Partnership (LESEP)</w:t>
            </w:r>
          </w:p>
        </w:tc>
      </w:tr>
      <w:tr w:rsidR="00F573DB" w:rsidRPr="00F573DB" w:rsidTr="00283CC1">
        <w:tc>
          <w:tcPr>
            <w:tcW w:w="675" w:type="dxa"/>
          </w:tcPr>
          <w:p w:rsidR="00F573DB" w:rsidRPr="00F573DB" w:rsidRDefault="00F573DB" w:rsidP="00F573DB">
            <w:pPr>
              <w:spacing w:after="0" w:line="240" w:lineRule="auto"/>
              <w:ind w:left="0" w:firstLine="0"/>
              <w:rPr>
                <w:rFonts w:eastAsiaTheme="minorHAnsi"/>
                <w:b/>
                <w:color w:val="auto"/>
                <w:sz w:val="22"/>
                <w:szCs w:val="22"/>
                <w:lang w:eastAsia="en-US"/>
              </w:rPr>
            </w:pPr>
            <w:r w:rsidRPr="00F573DB">
              <w:rPr>
                <w:rFonts w:eastAsiaTheme="minorHAnsi"/>
                <w:b/>
                <w:color w:val="auto"/>
                <w:sz w:val="22"/>
                <w:szCs w:val="22"/>
                <w:lang w:eastAsia="en-US"/>
              </w:rPr>
              <w:t>3.</w:t>
            </w:r>
          </w:p>
        </w:tc>
        <w:tc>
          <w:tcPr>
            <w:tcW w:w="5670"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 xml:space="preserve">Prioritisation of evidence completion  and submission to LAB by all partners </w:t>
            </w:r>
          </w:p>
        </w:tc>
        <w:tc>
          <w:tcPr>
            <w:tcW w:w="2835"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LESE partners</w:t>
            </w:r>
          </w:p>
        </w:tc>
      </w:tr>
      <w:tr w:rsidR="00F573DB" w:rsidRPr="00F573DB" w:rsidTr="00283CC1">
        <w:trPr>
          <w:trHeight w:val="273"/>
        </w:trPr>
        <w:tc>
          <w:tcPr>
            <w:tcW w:w="675" w:type="dxa"/>
          </w:tcPr>
          <w:p w:rsidR="00F573DB" w:rsidRPr="00F573DB" w:rsidRDefault="00F573DB" w:rsidP="00F573DB">
            <w:pPr>
              <w:spacing w:after="0" w:line="240" w:lineRule="auto"/>
              <w:ind w:left="0" w:firstLine="0"/>
              <w:rPr>
                <w:rFonts w:eastAsiaTheme="minorHAnsi"/>
                <w:b/>
                <w:color w:val="auto"/>
                <w:sz w:val="22"/>
                <w:szCs w:val="22"/>
                <w:lang w:eastAsia="en-US"/>
              </w:rPr>
            </w:pPr>
            <w:r w:rsidRPr="00F573DB">
              <w:rPr>
                <w:rFonts w:eastAsiaTheme="minorHAnsi"/>
                <w:b/>
                <w:color w:val="auto"/>
                <w:sz w:val="22"/>
                <w:szCs w:val="22"/>
                <w:lang w:eastAsia="en-US"/>
              </w:rPr>
              <w:t>4.</w:t>
            </w:r>
          </w:p>
        </w:tc>
        <w:tc>
          <w:tcPr>
            <w:tcW w:w="5670"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Additional training around XML (ILR) file uploads and the imperative that this matches evidence submissions</w:t>
            </w:r>
          </w:p>
        </w:tc>
        <w:tc>
          <w:tcPr>
            <w:tcW w:w="2835"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LAB Assistant Head MIS team</w:t>
            </w:r>
          </w:p>
        </w:tc>
      </w:tr>
      <w:tr w:rsidR="00F573DB" w:rsidRPr="00F573DB" w:rsidTr="00283CC1">
        <w:tc>
          <w:tcPr>
            <w:tcW w:w="675" w:type="dxa"/>
          </w:tcPr>
          <w:p w:rsidR="00F573DB" w:rsidRPr="00F573DB" w:rsidRDefault="00F573DB" w:rsidP="00F573DB">
            <w:pPr>
              <w:spacing w:after="0" w:line="240" w:lineRule="auto"/>
              <w:ind w:left="0" w:firstLine="0"/>
              <w:rPr>
                <w:rFonts w:eastAsiaTheme="minorHAnsi"/>
                <w:b/>
                <w:color w:val="auto"/>
                <w:sz w:val="22"/>
                <w:szCs w:val="22"/>
                <w:lang w:eastAsia="en-US"/>
              </w:rPr>
            </w:pPr>
            <w:r w:rsidRPr="00F573DB">
              <w:rPr>
                <w:rFonts w:eastAsiaTheme="minorHAnsi"/>
                <w:b/>
                <w:color w:val="auto"/>
                <w:sz w:val="22"/>
                <w:szCs w:val="22"/>
                <w:lang w:eastAsia="en-US"/>
              </w:rPr>
              <w:t>5.</w:t>
            </w:r>
          </w:p>
        </w:tc>
        <w:tc>
          <w:tcPr>
            <w:tcW w:w="5670"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Additional resource allocated to LAB Compliance Team to ensure Dec 6</w:t>
            </w:r>
            <w:r w:rsidRPr="00F573DB">
              <w:rPr>
                <w:rFonts w:eastAsiaTheme="minorHAnsi"/>
                <w:color w:val="auto"/>
                <w:sz w:val="22"/>
                <w:szCs w:val="22"/>
                <w:vertAlign w:val="superscript"/>
                <w:lang w:eastAsia="en-US"/>
              </w:rPr>
              <w:t>th</w:t>
            </w:r>
            <w:r w:rsidRPr="00F573DB">
              <w:rPr>
                <w:rFonts w:eastAsiaTheme="minorHAnsi"/>
                <w:color w:val="auto"/>
                <w:sz w:val="22"/>
                <w:szCs w:val="22"/>
                <w:lang w:eastAsia="en-US"/>
              </w:rPr>
              <w:t xml:space="preserve"> claim is maximised</w:t>
            </w:r>
          </w:p>
        </w:tc>
        <w:tc>
          <w:tcPr>
            <w:tcW w:w="2835"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LAB Head of Externally funded projects</w:t>
            </w:r>
          </w:p>
        </w:tc>
      </w:tr>
      <w:tr w:rsidR="00F573DB" w:rsidRPr="00F573DB" w:rsidTr="00283CC1">
        <w:trPr>
          <w:trHeight w:val="437"/>
        </w:trPr>
        <w:tc>
          <w:tcPr>
            <w:tcW w:w="675" w:type="dxa"/>
          </w:tcPr>
          <w:p w:rsidR="00F573DB" w:rsidRPr="00F573DB" w:rsidRDefault="00F573DB" w:rsidP="00F573DB">
            <w:pPr>
              <w:spacing w:after="0" w:line="240" w:lineRule="auto"/>
              <w:ind w:left="0" w:firstLine="0"/>
              <w:rPr>
                <w:rFonts w:eastAsiaTheme="minorHAnsi"/>
                <w:b/>
                <w:color w:val="auto"/>
                <w:sz w:val="22"/>
                <w:szCs w:val="22"/>
                <w:lang w:eastAsia="en-US"/>
              </w:rPr>
            </w:pPr>
            <w:r w:rsidRPr="00F573DB">
              <w:rPr>
                <w:rFonts w:eastAsiaTheme="minorHAnsi"/>
                <w:b/>
                <w:color w:val="auto"/>
                <w:sz w:val="22"/>
                <w:szCs w:val="22"/>
                <w:lang w:eastAsia="en-US"/>
              </w:rPr>
              <w:t>6.</w:t>
            </w:r>
          </w:p>
        </w:tc>
        <w:tc>
          <w:tcPr>
            <w:tcW w:w="5670"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 xml:space="preserve">Discussion with SFA to clarify actual PMP process in line with ESF and SFA regulations </w:t>
            </w:r>
          </w:p>
        </w:tc>
        <w:tc>
          <w:tcPr>
            <w:tcW w:w="2835"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LAB Head of Externally funded projects</w:t>
            </w:r>
          </w:p>
        </w:tc>
      </w:tr>
      <w:tr w:rsidR="00F573DB" w:rsidRPr="00F573DB" w:rsidTr="00283CC1">
        <w:trPr>
          <w:trHeight w:val="437"/>
        </w:trPr>
        <w:tc>
          <w:tcPr>
            <w:tcW w:w="675" w:type="dxa"/>
          </w:tcPr>
          <w:p w:rsidR="00F573DB" w:rsidRPr="00F573DB" w:rsidRDefault="00F573DB" w:rsidP="00F573DB">
            <w:pPr>
              <w:spacing w:after="0" w:line="240" w:lineRule="auto"/>
              <w:ind w:left="0" w:firstLine="0"/>
              <w:rPr>
                <w:rFonts w:eastAsiaTheme="minorHAnsi"/>
                <w:b/>
                <w:color w:val="auto"/>
                <w:sz w:val="22"/>
                <w:szCs w:val="22"/>
                <w:lang w:eastAsia="en-US"/>
              </w:rPr>
            </w:pPr>
            <w:r w:rsidRPr="00F573DB">
              <w:rPr>
                <w:rFonts w:eastAsiaTheme="minorHAnsi"/>
                <w:b/>
                <w:color w:val="auto"/>
                <w:sz w:val="22"/>
                <w:szCs w:val="22"/>
                <w:lang w:eastAsia="en-US"/>
              </w:rPr>
              <w:t>7.</w:t>
            </w:r>
          </w:p>
        </w:tc>
        <w:tc>
          <w:tcPr>
            <w:tcW w:w="5670"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Impact analysis of likely outturn scenarios and provide interim report for SEB and Steering Group</w:t>
            </w:r>
          </w:p>
        </w:tc>
        <w:tc>
          <w:tcPr>
            <w:tcW w:w="2835"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 xml:space="preserve">LESEP </w:t>
            </w:r>
          </w:p>
        </w:tc>
      </w:tr>
    </w:tbl>
    <w:p w:rsidR="00F573DB" w:rsidRPr="00F573DB" w:rsidRDefault="00F573DB" w:rsidP="00F573DB">
      <w:pPr>
        <w:spacing w:after="160" w:line="256" w:lineRule="auto"/>
        <w:ind w:left="1080" w:firstLine="0"/>
        <w:contextualSpacing/>
        <w:jc w:val="both"/>
        <w:rPr>
          <w:rFonts w:eastAsiaTheme="minorHAnsi"/>
          <w:b/>
          <w:color w:val="auto"/>
          <w:sz w:val="22"/>
          <w:szCs w:val="22"/>
          <w:lang w:eastAsia="en-US"/>
        </w:rPr>
      </w:pPr>
    </w:p>
    <w:p w:rsidR="00F573DB" w:rsidRPr="00F573DB" w:rsidRDefault="00F573DB" w:rsidP="00F573DB">
      <w:pPr>
        <w:numPr>
          <w:ilvl w:val="0"/>
          <w:numId w:val="7"/>
        </w:numPr>
        <w:spacing w:after="160" w:line="256" w:lineRule="auto"/>
        <w:ind w:hanging="720"/>
        <w:contextualSpacing/>
        <w:jc w:val="both"/>
        <w:rPr>
          <w:rFonts w:eastAsiaTheme="minorHAnsi"/>
          <w:b/>
          <w:color w:val="auto"/>
          <w:sz w:val="22"/>
          <w:szCs w:val="22"/>
          <w:lang w:eastAsia="en-US"/>
        </w:rPr>
      </w:pPr>
      <w:r w:rsidRPr="00F573DB">
        <w:rPr>
          <w:rFonts w:eastAsiaTheme="minorHAnsi"/>
          <w:b/>
          <w:color w:val="auto"/>
          <w:sz w:val="22"/>
          <w:szCs w:val="22"/>
          <w:lang w:eastAsia="en-US"/>
        </w:rPr>
        <w:t>Targeted focus</w:t>
      </w:r>
      <w:r w:rsidRPr="00F573DB">
        <w:rPr>
          <w:rFonts w:eastAsiaTheme="minorHAnsi"/>
          <w:color w:val="auto"/>
          <w:sz w:val="22"/>
          <w:szCs w:val="22"/>
          <w:lang w:eastAsia="en-US"/>
        </w:rPr>
        <w:t xml:space="preserve"> </w:t>
      </w:r>
    </w:p>
    <w:p w:rsidR="00F573DB" w:rsidRPr="00F573DB" w:rsidRDefault="00F573DB" w:rsidP="00F573DB">
      <w:pPr>
        <w:spacing w:after="160" w:line="259" w:lineRule="auto"/>
        <w:ind w:left="360" w:firstLine="0"/>
        <w:contextualSpacing/>
        <w:jc w:val="both"/>
        <w:rPr>
          <w:rFonts w:eastAsiaTheme="minorHAnsi"/>
          <w:color w:val="auto"/>
          <w:sz w:val="22"/>
          <w:szCs w:val="22"/>
          <w:lang w:eastAsia="en-US"/>
        </w:rPr>
      </w:pPr>
    </w:p>
    <w:p w:rsidR="00F573DB" w:rsidRPr="00F573DB" w:rsidRDefault="00F573DB" w:rsidP="00F573DB">
      <w:pPr>
        <w:spacing w:after="160" w:line="259" w:lineRule="auto"/>
        <w:ind w:left="-142" w:firstLine="0"/>
        <w:contextualSpacing/>
        <w:jc w:val="both"/>
        <w:rPr>
          <w:rFonts w:eastAsiaTheme="minorHAnsi"/>
          <w:color w:val="auto"/>
          <w:sz w:val="22"/>
          <w:szCs w:val="22"/>
          <w:lang w:eastAsia="en-US"/>
        </w:rPr>
      </w:pPr>
      <w:r w:rsidRPr="00F573DB">
        <w:rPr>
          <w:rFonts w:eastAsiaTheme="minorHAnsi"/>
          <w:color w:val="auto"/>
          <w:sz w:val="22"/>
          <w:szCs w:val="22"/>
          <w:lang w:eastAsia="en-US"/>
        </w:rPr>
        <w:t>There is a very clear direction within the project specification to work with those with multiple barriers in terms of background, characteristics, geographic location. Partners are tasked to specifically focus activity to particular groups. This information is collected and collated on a monthly basis by the compliance team.</w:t>
      </w:r>
    </w:p>
    <w:p w:rsidR="00F573DB" w:rsidRPr="00F573DB" w:rsidRDefault="00F573DB" w:rsidP="00F573DB">
      <w:pPr>
        <w:spacing w:after="160" w:line="259" w:lineRule="auto"/>
        <w:ind w:left="0" w:firstLine="0"/>
        <w:rPr>
          <w:rFonts w:eastAsiaTheme="minorHAnsi"/>
          <w:b/>
          <w:color w:val="auto"/>
          <w:sz w:val="22"/>
          <w:szCs w:val="22"/>
          <w:lang w:eastAsia="en-US"/>
        </w:rPr>
      </w:pPr>
      <w:r w:rsidRPr="00F573DB">
        <w:rPr>
          <w:rFonts w:eastAsiaTheme="minorHAnsi"/>
          <w:b/>
          <w:color w:val="auto"/>
          <w:sz w:val="22"/>
          <w:szCs w:val="22"/>
          <w:lang w:eastAsia="en-US"/>
        </w:rPr>
        <w:t>Claimed Activity Age Breakdown as at 2015/16 R14 Hard Close</w:t>
      </w:r>
    </w:p>
    <w:tbl>
      <w:tblPr>
        <w:tblW w:w="9180" w:type="dxa"/>
        <w:tblCellMar>
          <w:left w:w="0" w:type="dxa"/>
          <w:right w:w="0" w:type="dxa"/>
        </w:tblCellMar>
        <w:tblLook w:val="04A0" w:firstRow="1" w:lastRow="0" w:firstColumn="1" w:lastColumn="0" w:noHBand="0" w:noVBand="1"/>
      </w:tblPr>
      <w:tblGrid>
        <w:gridCol w:w="3632"/>
        <w:gridCol w:w="1405"/>
        <w:gridCol w:w="1940"/>
        <w:gridCol w:w="2203"/>
      </w:tblGrid>
      <w:tr w:rsidR="00F573DB" w:rsidRPr="00F573DB" w:rsidTr="00283CC1">
        <w:trPr>
          <w:trHeight w:val="300"/>
        </w:trPr>
        <w:tc>
          <w:tcPr>
            <w:tcW w:w="3794" w:type="dxa"/>
            <w:tcBorders>
              <w:top w:val="single" w:sz="6" w:space="0" w:color="383A3B"/>
              <w:left w:val="single" w:sz="6" w:space="0" w:color="383A3B"/>
              <w:bottom w:val="single" w:sz="6" w:space="0" w:color="383A3B"/>
              <w:right w:val="single" w:sz="6" w:space="0" w:color="383A3B"/>
            </w:tcBorders>
            <w:shd w:val="clear" w:color="auto" w:fill="BDD6EE" w:themeFill="accent1" w:themeFillTint="66"/>
            <w:tcMar>
              <w:top w:w="15" w:type="dxa"/>
              <w:left w:w="108" w:type="dxa"/>
              <w:bottom w:w="0" w:type="dxa"/>
              <w:right w:w="108" w:type="dxa"/>
            </w:tcMar>
            <w:vAlign w:val="bottom"/>
            <w:hideMark/>
          </w:tcPr>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b/>
                <w:bCs/>
                <w:color w:val="auto"/>
                <w:sz w:val="22"/>
                <w:szCs w:val="22"/>
                <w:lang w:eastAsia="en-US"/>
              </w:rPr>
              <w:t>AGE GROUP</w:t>
            </w:r>
          </w:p>
        </w:tc>
        <w:tc>
          <w:tcPr>
            <w:tcW w:w="1417" w:type="dxa"/>
            <w:tcBorders>
              <w:top w:val="single" w:sz="6" w:space="0" w:color="383A3B"/>
              <w:left w:val="single" w:sz="6" w:space="0" w:color="383A3B"/>
              <w:bottom w:val="single" w:sz="6" w:space="0" w:color="383A3B"/>
              <w:right w:val="single" w:sz="6" w:space="0" w:color="383A3B"/>
            </w:tcBorders>
            <w:shd w:val="clear" w:color="auto" w:fill="BDD6EE" w:themeFill="accent1" w:themeFillTint="66"/>
            <w:tcMar>
              <w:top w:w="15" w:type="dxa"/>
              <w:left w:w="108" w:type="dxa"/>
              <w:bottom w:w="0" w:type="dxa"/>
              <w:right w:w="108" w:type="dxa"/>
            </w:tcMar>
            <w:vAlign w:val="bottom"/>
            <w:hideMark/>
          </w:tcPr>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b/>
                <w:bCs/>
                <w:color w:val="auto"/>
                <w:sz w:val="22"/>
                <w:szCs w:val="22"/>
                <w:lang w:eastAsia="en-US"/>
              </w:rPr>
              <w:t> VOLUME</w:t>
            </w:r>
          </w:p>
        </w:tc>
        <w:tc>
          <w:tcPr>
            <w:tcW w:w="1701" w:type="dxa"/>
            <w:tcBorders>
              <w:top w:val="single" w:sz="6" w:space="0" w:color="383A3B"/>
              <w:left w:val="single" w:sz="6" w:space="0" w:color="383A3B"/>
              <w:bottom w:val="single" w:sz="6" w:space="0" w:color="383A3B"/>
              <w:right w:val="single" w:sz="6" w:space="0" w:color="383A3B"/>
            </w:tcBorders>
            <w:shd w:val="clear" w:color="auto" w:fill="BDD6EE" w:themeFill="accent1" w:themeFillTint="66"/>
            <w:tcMar>
              <w:top w:w="15" w:type="dxa"/>
              <w:left w:w="108" w:type="dxa"/>
              <w:bottom w:w="0" w:type="dxa"/>
              <w:right w:w="108" w:type="dxa"/>
            </w:tcMar>
            <w:hideMark/>
          </w:tcPr>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b/>
                <w:bCs/>
                <w:color w:val="auto"/>
                <w:sz w:val="22"/>
                <w:szCs w:val="22"/>
                <w:lang w:eastAsia="en-US"/>
              </w:rPr>
              <w:t>CURRENT PERFORMANCE</w:t>
            </w:r>
          </w:p>
        </w:tc>
        <w:tc>
          <w:tcPr>
            <w:tcW w:w="2268" w:type="dxa"/>
            <w:tcBorders>
              <w:top w:val="single" w:sz="6" w:space="0" w:color="383A3B"/>
              <w:left w:val="single" w:sz="6" w:space="0" w:color="383A3B"/>
              <w:bottom w:val="single" w:sz="6" w:space="0" w:color="383A3B"/>
              <w:right w:val="single" w:sz="6" w:space="0" w:color="383A3B"/>
            </w:tcBorders>
            <w:shd w:val="clear" w:color="auto" w:fill="BDD6EE" w:themeFill="accent1" w:themeFillTint="66"/>
            <w:tcMar>
              <w:top w:w="15" w:type="dxa"/>
              <w:left w:w="108" w:type="dxa"/>
              <w:bottom w:w="0" w:type="dxa"/>
              <w:right w:w="108" w:type="dxa"/>
            </w:tcMar>
            <w:vAlign w:val="bottom"/>
            <w:hideMark/>
          </w:tcPr>
          <w:p w:rsidR="00F573DB" w:rsidRPr="00F573DB" w:rsidRDefault="00F573DB" w:rsidP="00F573DB">
            <w:pPr>
              <w:spacing w:after="160" w:line="259" w:lineRule="auto"/>
              <w:ind w:left="0" w:firstLine="0"/>
              <w:rPr>
                <w:rFonts w:eastAsiaTheme="minorHAnsi"/>
                <w:color w:val="auto"/>
                <w:sz w:val="22"/>
                <w:szCs w:val="22"/>
                <w:lang w:eastAsia="en-US"/>
              </w:rPr>
            </w:pPr>
            <w:r w:rsidRPr="00F573DB">
              <w:rPr>
                <w:rFonts w:eastAsiaTheme="minorHAnsi"/>
                <w:b/>
                <w:bCs/>
                <w:color w:val="auto"/>
                <w:sz w:val="22"/>
                <w:szCs w:val="22"/>
                <w:lang w:eastAsia="en-US"/>
              </w:rPr>
              <w:t>SFA PROFILE</w:t>
            </w:r>
          </w:p>
        </w:tc>
      </w:tr>
      <w:tr w:rsidR="00F573DB" w:rsidRPr="00F573DB" w:rsidTr="00283CC1">
        <w:trPr>
          <w:trHeight w:val="300"/>
        </w:trPr>
        <w:tc>
          <w:tcPr>
            <w:tcW w:w="3794" w:type="dxa"/>
            <w:tcBorders>
              <w:top w:val="single" w:sz="6" w:space="0" w:color="383A3B"/>
              <w:left w:val="single" w:sz="6" w:space="0" w:color="383A3B"/>
              <w:bottom w:val="single" w:sz="6" w:space="0" w:color="383A3B"/>
              <w:right w:val="single" w:sz="6" w:space="0" w:color="383A3B"/>
            </w:tcBorders>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b/>
                <w:bCs/>
                <w:color w:val="auto"/>
                <w:sz w:val="22"/>
                <w:szCs w:val="22"/>
                <w:lang w:eastAsia="en-US"/>
              </w:rPr>
              <w:t>15-16</w:t>
            </w:r>
          </w:p>
        </w:tc>
        <w:tc>
          <w:tcPr>
            <w:tcW w:w="1417" w:type="dxa"/>
            <w:tcBorders>
              <w:top w:val="single" w:sz="6" w:space="0" w:color="383A3B"/>
              <w:left w:val="single" w:sz="6" w:space="0" w:color="383A3B"/>
              <w:bottom w:val="single" w:sz="6" w:space="0" w:color="383A3B"/>
              <w:right w:val="single" w:sz="6" w:space="0" w:color="383A3B"/>
            </w:tcBorders>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color w:val="auto"/>
                <w:sz w:val="22"/>
                <w:szCs w:val="22"/>
                <w:lang w:eastAsia="en-US"/>
              </w:rPr>
              <w:t>39</w:t>
            </w:r>
          </w:p>
        </w:tc>
        <w:tc>
          <w:tcPr>
            <w:tcW w:w="1701" w:type="dxa"/>
            <w:tcBorders>
              <w:top w:val="single" w:sz="6" w:space="0" w:color="383A3B"/>
              <w:left w:val="single" w:sz="6" w:space="0" w:color="383A3B"/>
              <w:bottom w:val="single" w:sz="6" w:space="0" w:color="383A3B"/>
              <w:right w:val="single" w:sz="6" w:space="0" w:color="383A3B"/>
            </w:tcBorders>
            <w:shd w:val="clear" w:color="auto" w:fill="auto"/>
            <w:tcMar>
              <w:top w:w="15" w:type="dxa"/>
              <w:left w:w="108" w:type="dxa"/>
              <w:bottom w:w="0" w:type="dxa"/>
              <w:right w:w="108" w:type="dxa"/>
            </w:tcMar>
            <w:vAlign w:val="center"/>
            <w:hideMark/>
          </w:tcPr>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color w:val="auto"/>
                <w:sz w:val="22"/>
                <w:szCs w:val="22"/>
                <w:lang w:eastAsia="en-US"/>
              </w:rPr>
              <w:t>18%</w:t>
            </w:r>
          </w:p>
        </w:tc>
        <w:tc>
          <w:tcPr>
            <w:tcW w:w="2268" w:type="dxa"/>
            <w:tcBorders>
              <w:top w:val="single" w:sz="6" w:space="0" w:color="383A3B"/>
              <w:left w:val="single" w:sz="6" w:space="0" w:color="383A3B"/>
              <w:bottom w:val="single" w:sz="6" w:space="0" w:color="383A3B"/>
              <w:right w:val="single" w:sz="6" w:space="0" w:color="383A3B"/>
            </w:tcBorders>
            <w:shd w:val="clear" w:color="auto" w:fill="auto"/>
            <w:tcMar>
              <w:top w:w="15" w:type="dxa"/>
              <w:left w:w="108" w:type="dxa"/>
              <w:bottom w:w="0" w:type="dxa"/>
              <w:right w:w="108" w:type="dxa"/>
            </w:tcMar>
            <w:vAlign w:val="center"/>
            <w:hideMark/>
          </w:tcPr>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color w:val="auto"/>
                <w:sz w:val="22"/>
                <w:szCs w:val="22"/>
                <w:lang w:eastAsia="en-US"/>
              </w:rPr>
              <w:t>30%</w:t>
            </w:r>
          </w:p>
        </w:tc>
      </w:tr>
      <w:tr w:rsidR="00F573DB" w:rsidRPr="00F573DB" w:rsidTr="00283CC1">
        <w:trPr>
          <w:trHeight w:val="300"/>
        </w:trPr>
        <w:tc>
          <w:tcPr>
            <w:tcW w:w="3794" w:type="dxa"/>
            <w:tcBorders>
              <w:top w:val="single" w:sz="6" w:space="0" w:color="383A3B"/>
              <w:left w:val="single" w:sz="6" w:space="0" w:color="383A3B"/>
              <w:bottom w:val="single" w:sz="6" w:space="0" w:color="383A3B"/>
              <w:right w:val="single" w:sz="6" w:space="0" w:color="383A3B"/>
            </w:tcBorders>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b/>
                <w:bCs/>
                <w:color w:val="auto"/>
                <w:sz w:val="22"/>
                <w:szCs w:val="22"/>
                <w:lang w:eastAsia="en-US"/>
              </w:rPr>
              <w:t>16+ at risk</w:t>
            </w:r>
          </w:p>
        </w:tc>
        <w:tc>
          <w:tcPr>
            <w:tcW w:w="1417" w:type="dxa"/>
            <w:tcBorders>
              <w:top w:val="single" w:sz="6" w:space="0" w:color="383A3B"/>
              <w:left w:val="single" w:sz="6" w:space="0" w:color="383A3B"/>
              <w:bottom w:val="single" w:sz="6" w:space="0" w:color="383A3B"/>
              <w:right w:val="single" w:sz="6" w:space="0" w:color="383A3B"/>
            </w:tcBorders>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color w:val="auto"/>
                <w:sz w:val="22"/>
                <w:szCs w:val="22"/>
                <w:lang w:eastAsia="en-US"/>
              </w:rPr>
              <w:t>31</w:t>
            </w:r>
          </w:p>
        </w:tc>
        <w:tc>
          <w:tcPr>
            <w:tcW w:w="1701" w:type="dxa"/>
            <w:vMerge w:val="restart"/>
            <w:tcBorders>
              <w:top w:val="single" w:sz="6" w:space="0" w:color="383A3B"/>
              <w:left w:val="single" w:sz="6" w:space="0" w:color="383A3B"/>
              <w:bottom w:val="single" w:sz="6" w:space="0" w:color="383A3B"/>
              <w:right w:val="single" w:sz="6" w:space="0" w:color="383A3B"/>
            </w:tcBorders>
            <w:shd w:val="clear" w:color="auto" w:fill="auto"/>
            <w:tcMar>
              <w:top w:w="15" w:type="dxa"/>
              <w:left w:w="108" w:type="dxa"/>
              <w:bottom w:w="0" w:type="dxa"/>
              <w:right w:w="108" w:type="dxa"/>
            </w:tcMar>
            <w:vAlign w:val="center"/>
            <w:hideMark/>
          </w:tcPr>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color w:val="auto"/>
                <w:sz w:val="22"/>
                <w:szCs w:val="22"/>
                <w:lang w:eastAsia="en-US"/>
              </w:rPr>
              <w:t>82%</w:t>
            </w:r>
          </w:p>
        </w:tc>
        <w:tc>
          <w:tcPr>
            <w:tcW w:w="2268" w:type="dxa"/>
            <w:vMerge w:val="restart"/>
            <w:tcBorders>
              <w:top w:val="single" w:sz="6" w:space="0" w:color="383A3B"/>
              <w:left w:val="single" w:sz="6" w:space="0" w:color="383A3B"/>
              <w:bottom w:val="single" w:sz="6" w:space="0" w:color="383A3B"/>
              <w:right w:val="single" w:sz="6" w:space="0" w:color="383A3B"/>
            </w:tcBorders>
            <w:shd w:val="clear" w:color="auto" w:fill="auto"/>
            <w:tcMar>
              <w:top w:w="15" w:type="dxa"/>
              <w:left w:w="108" w:type="dxa"/>
              <w:bottom w:w="0" w:type="dxa"/>
              <w:right w:w="108" w:type="dxa"/>
            </w:tcMar>
            <w:vAlign w:val="center"/>
            <w:hideMark/>
          </w:tcPr>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color w:val="auto"/>
                <w:sz w:val="22"/>
                <w:szCs w:val="22"/>
                <w:lang w:eastAsia="en-US"/>
              </w:rPr>
              <w:t>70%</w:t>
            </w:r>
          </w:p>
        </w:tc>
      </w:tr>
      <w:tr w:rsidR="00F573DB" w:rsidRPr="00F573DB" w:rsidTr="00283CC1">
        <w:trPr>
          <w:trHeight w:val="300"/>
        </w:trPr>
        <w:tc>
          <w:tcPr>
            <w:tcW w:w="3794" w:type="dxa"/>
            <w:tcBorders>
              <w:top w:val="single" w:sz="6" w:space="0" w:color="383A3B"/>
              <w:left w:val="single" w:sz="6" w:space="0" w:color="383A3B"/>
              <w:bottom w:val="single" w:sz="6" w:space="0" w:color="383A3B"/>
              <w:right w:val="single" w:sz="6" w:space="0" w:color="383A3B"/>
            </w:tcBorders>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b/>
                <w:bCs/>
                <w:color w:val="auto"/>
                <w:sz w:val="22"/>
                <w:szCs w:val="22"/>
                <w:lang w:eastAsia="en-US"/>
              </w:rPr>
              <w:t>16+ fully NEET</w:t>
            </w:r>
          </w:p>
        </w:tc>
        <w:tc>
          <w:tcPr>
            <w:tcW w:w="1417" w:type="dxa"/>
            <w:tcBorders>
              <w:top w:val="single" w:sz="6" w:space="0" w:color="383A3B"/>
              <w:left w:val="single" w:sz="6" w:space="0" w:color="383A3B"/>
              <w:bottom w:val="single" w:sz="6" w:space="0" w:color="383A3B"/>
              <w:right w:val="single" w:sz="6" w:space="0" w:color="383A3B"/>
            </w:tcBorders>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color w:val="auto"/>
                <w:sz w:val="22"/>
                <w:szCs w:val="22"/>
                <w:lang w:eastAsia="en-US"/>
              </w:rPr>
              <w:t>146</w:t>
            </w:r>
          </w:p>
        </w:tc>
        <w:tc>
          <w:tcPr>
            <w:tcW w:w="1701" w:type="dxa"/>
            <w:vMerge/>
            <w:tcBorders>
              <w:top w:val="single" w:sz="6" w:space="0" w:color="383A3B"/>
              <w:left w:val="single" w:sz="6" w:space="0" w:color="383A3B"/>
              <w:bottom w:val="single" w:sz="6" w:space="0" w:color="383A3B"/>
              <w:right w:val="single" w:sz="6" w:space="0" w:color="383A3B"/>
            </w:tcBorders>
            <w:shd w:val="clear" w:color="auto" w:fill="auto"/>
            <w:vAlign w:val="center"/>
            <w:hideMark/>
          </w:tcPr>
          <w:p w:rsidR="00F573DB" w:rsidRPr="00F573DB" w:rsidRDefault="00F573DB" w:rsidP="00F573DB">
            <w:pPr>
              <w:spacing w:after="160" w:line="259" w:lineRule="auto"/>
              <w:ind w:left="0" w:firstLine="0"/>
              <w:jc w:val="both"/>
              <w:rPr>
                <w:rFonts w:eastAsiaTheme="minorHAnsi"/>
                <w:color w:val="auto"/>
                <w:sz w:val="22"/>
                <w:szCs w:val="22"/>
                <w:lang w:eastAsia="en-US"/>
              </w:rPr>
            </w:pPr>
          </w:p>
        </w:tc>
        <w:tc>
          <w:tcPr>
            <w:tcW w:w="2268" w:type="dxa"/>
            <w:vMerge/>
            <w:tcBorders>
              <w:top w:val="single" w:sz="6" w:space="0" w:color="383A3B"/>
              <w:left w:val="single" w:sz="6" w:space="0" w:color="383A3B"/>
              <w:bottom w:val="single" w:sz="6" w:space="0" w:color="383A3B"/>
              <w:right w:val="single" w:sz="6" w:space="0" w:color="383A3B"/>
            </w:tcBorders>
            <w:shd w:val="clear" w:color="auto" w:fill="auto"/>
            <w:vAlign w:val="center"/>
            <w:hideMark/>
          </w:tcPr>
          <w:p w:rsidR="00F573DB" w:rsidRPr="00F573DB" w:rsidRDefault="00F573DB" w:rsidP="00F573DB">
            <w:pPr>
              <w:spacing w:after="160" w:line="259" w:lineRule="auto"/>
              <w:ind w:left="0" w:firstLine="0"/>
              <w:jc w:val="both"/>
              <w:rPr>
                <w:rFonts w:eastAsiaTheme="minorHAnsi"/>
                <w:color w:val="auto"/>
                <w:sz w:val="22"/>
                <w:szCs w:val="22"/>
                <w:lang w:eastAsia="en-US"/>
              </w:rPr>
            </w:pPr>
          </w:p>
        </w:tc>
      </w:tr>
      <w:tr w:rsidR="00F573DB" w:rsidRPr="00F573DB" w:rsidTr="00283CC1">
        <w:trPr>
          <w:trHeight w:val="300"/>
        </w:trPr>
        <w:tc>
          <w:tcPr>
            <w:tcW w:w="3794" w:type="dxa"/>
            <w:tcBorders>
              <w:top w:val="single" w:sz="6" w:space="0" w:color="383A3B"/>
              <w:left w:val="single" w:sz="6" w:space="0" w:color="383A3B"/>
              <w:bottom w:val="single" w:sz="6" w:space="0" w:color="383A3B"/>
              <w:right w:val="single" w:sz="6" w:space="0" w:color="383A3B"/>
            </w:tcBorders>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b/>
                <w:bCs/>
                <w:color w:val="auto"/>
                <w:sz w:val="22"/>
                <w:szCs w:val="22"/>
                <w:lang w:eastAsia="en-US"/>
              </w:rPr>
              <w:t>19-24 fully NEET</w:t>
            </w:r>
          </w:p>
        </w:tc>
        <w:tc>
          <w:tcPr>
            <w:tcW w:w="1417" w:type="dxa"/>
            <w:tcBorders>
              <w:top w:val="single" w:sz="6" w:space="0" w:color="383A3B"/>
              <w:left w:val="single" w:sz="6" w:space="0" w:color="383A3B"/>
              <w:bottom w:val="single" w:sz="6" w:space="0" w:color="383A3B"/>
              <w:right w:val="single" w:sz="6" w:space="0" w:color="383A3B"/>
            </w:tcBorders>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color w:val="auto"/>
                <w:sz w:val="22"/>
                <w:szCs w:val="22"/>
                <w:lang w:eastAsia="en-US"/>
              </w:rPr>
              <w:t>4</w:t>
            </w:r>
          </w:p>
        </w:tc>
        <w:tc>
          <w:tcPr>
            <w:tcW w:w="1701" w:type="dxa"/>
            <w:vMerge/>
            <w:tcBorders>
              <w:top w:val="single" w:sz="6" w:space="0" w:color="383A3B"/>
              <w:left w:val="single" w:sz="6" w:space="0" w:color="383A3B"/>
              <w:bottom w:val="single" w:sz="6" w:space="0" w:color="383A3B"/>
              <w:right w:val="single" w:sz="6" w:space="0" w:color="383A3B"/>
            </w:tcBorders>
            <w:shd w:val="clear" w:color="auto" w:fill="auto"/>
            <w:vAlign w:val="center"/>
            <w:hideMark/>
          </w:tcPr>
          <w:p w:rsidR="00F573DB" w:rsidRPr="00F573DB" w:rsidRDefault="00F573DB" w:rsidP="00F573DB">
            <w:pPr>
              <w:spacing w:after="160" w:line="259" w:lineRule="auto"/>
              <w:ind w:left="0" w:firstLine="0"/>
              <w:jc w:val="both"/>
              <w:rPr>
                <w:rFonts w:eastAsiaTheme="minorHAnsi"/>
                <w:color w:val="auto"/>
                <w:sz w:val="22"/>
                <w:szCs w:val="22"/>
                <w:lang w:eastAsia="en-US"/>
              </w:rPr>
            </w:pPr>
          </w:p>
        </w:tc>
        <w:tc>
          <w:tcPr>
            <w:tcW w:w="2268" w:type="dxa"/>
            <w:vMerge/>
            <w:tcBorders>
              <w:top w:val="single" w:sz="6" w:space="0" w:color="383A3B"/>
              <w:left w:val="single" w:sz="6" w:space="0" w:color="383A3B"/>
              <w:bottom w:val="single" w:sz="6" w:space="0" w:color="383A3B"/>
              <w:right w:val="single" w:sz="6" w:space="0" w:color="383A3B"/>
            </w:tcBorders>
            <w:shd w:val="clear" w:color="auto" w:fill="auto"/>
            <w:vAlign w:val="center"/>
            <w:hideMark/>
          </w:tcPr>
          <w:p w:rsidR="00F573DB" w:rsidRPr="00F573DB" w:rsidRDefault="00F573DB" w:rsidP="00F573DB">
            <w:pPr>
              <w:spacing w:after="160" w:line="259" w:lineRule="auto"/>
              <w:ind w:left="0" w:firstLine="0"/>
              <w:jc w:val="both"/>
              <w:rPr>
                <w:rFonts w:eastAsiaTheme="minorHAnsi"/>
                <w:color w:val="auto"/>
                <w:sz w:val="22"/>
                <w:szCs w:val="22"/>
                <w:lang w:eastAsia="en-US"/>
              </w:rPr>
            </w:pPr>
          </w:p>
        </w:tc>
      </w:tr>
      <w:tr w:rsidR="00F573DB" w:rsidRPr="00F573DB" w:rsidTr="00283CC1">
        <w:trPr>
          <w:trHeight w:val="300"/>
        </w:trPr>
        <w:tc>
          <w:tcPr>
            <w:tcW w:w="3794" w:type="dxa"/>
            <w:tcBorders>
              <w:top w:val="single" w:sz="6" w:space="0" w:color="383A3B"/>
              <w:left w:val="single" w:sz="6" w:space="0" w:color="383A3B"/>
              <w:bottom w:val="single" w:sz="6" w:space="0" w:color="383A3B"/>
              <w:right w:val="single" w:sz="6" w:space="0" w:color="383A3B"/>
            </w:tcBorders>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b/>
                <w:bCs/>
                <w:color w:val="auto"/>
                <w:sz w:val="22"/>
                <w:szCs w:val="22"/>
                <w:lang w:eastAsia="en-US"/>
              </w:rPr>
              <w:t>Total</w:t>
            </w:r>
          </w:p>
        </w:tc>
        <w:tc>
          <w:tcPr>
            <w:tcW w:w="1417" w:type="dxa"/>
            <w:tcBorders>
              <w:top w:val="single" w:sz="6" w:space="0" w:color="383A3B"/>
              <w:left w:val="single" w:sz="6" w:space="0" w:color="383A3B"/>
              <w:bottom w:val="single" w:sz="6" w:space="0" w:color="383A3B"/>
              <w:right w:val="single" w:sz="6" w:space="0" w:color="383A3B"/>
            </w:tcBorders>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color w:val="auto"/>
                <w:sz w:val="22"/>
                <w:szCs w:val="22"/>
                <w:lang w:eastAsia="en-US"/>
              </w:rPr>
              <w:t>220</w:t>
            </w:r>
          </w:p>
        </w:tc>
        <w:tc>
          <w:tcPr>
            <w:tcW w:w="1701" w:type="dxa"/>
            <w:tcBorders>
              <w:top w:val="single" w:sz="6" w:space="0" w:color="383A3B"/>
              <w:left w:val="single" w:sz="6" w:space="0" w:color="383A3B"/>
              <w:bottom w:val="single" w:sz="6" w:space="0" w:color="383A3B"/>
              <w:right w:val="single" w:sz="6" w:space="0" w:color="383A3B"/>
            </w:tcBorders>
            <w:shd w:val="clear" w:color="auto" w:fill="auto"/>
            <w:tcMar>
              <w:top w:w="15" w:type="dxa"/>
              <w:left w:w="108" w:type="dxa"/>
              <w:bottom w:w="0" w:type="dxa"/>
              <w:right w:w="108" w:type="dxa"/>
            </w:tcMar>
            <w:hideMark/>
          </w:tcPr>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color w:val="auto"/>
                <w:sz w:val="22"/>
                <w:szCs w:val="22"/>
                <w:lang w:eastAsia="en-US"/>
              </w:rPr>
              <w:t> </w:t>
            </w:r>
          </w:p>
        </w:tc>
        <w:tc>
          <w:tcPr>
            <w:tcW w:w="2268" w:type="dxa"/>
            <w:tcBorders>
              <w:top w:val="single" w:sz="6" w:space="0" w:color="383A3B"/>
              <w:left w:val="single" w:sz="6" w:space="0" w:color="383A3B"/>
              <w:bottom w:val="single" w:sz="6" w:space="0" w:color="383A3B"/>
              <w:right w:val="single" w:sz="6" w:space="0" w:color="383A3B"/>
            </w:tcBorders>
            <w:shd w:val="clear" w:color="auto" w:fill="auto"/>
            <w:tcMar>
              <w:top w:w="15" w:type="dxa"/>
              <w:left w:w="108" w:type="dxa"/>
              <w:bottom w:w="0" w:type="dxa"/>
              <w:right w:w="108" w:type="dxa"/>
            </w:tcMar>
            <w:hideMark/>
          </w:tcPr>
          <w:p w:rsidR="00F573DB" w:rsidRPr="00F573DB" w:rsidRDefault="00F573DB" w:rsidP="00F573DB">
            <w:pPr>
              <w:spacing w:after="160" w:line="259" w:lineRule="auto"/>
              <w:ind w:left="0" w:firstLine="0"/>
              <w:jc w:val="both"/>
              <w:rPr>
                <w:rFonts w:eastAsiaTheme="minorHAnsi"/>
                <w:color w:val="auto"/>
                <w:sz w:val="22"/>
                <w:szCs w:val="22"/>
                <w:lang w:eastAsia="en-US"/>
              </w:rPr>
            </w:pPr>
          </w:p>
        </w:tc>
      </w:tr>
    </w:tbl>
    <w:p w:rsidR="00F573DB" w:rsidRPr="00F573DB" w:rsidRDefault="00F573DB" w:rsidP="00F573DB">
      <w:pPr>
        <w:spacing w:after="160" w:line="259" w:lineRule="auto"/>
        <w:ind w:left="0" w:firstLine="0"/>
        <w:jc w:val="both"/>
        <w:rPr>
          <w:rFonts w:eastAsiaTheme="minorHAnsi"/>
          <w:b/>
          <w:color w:val="auto"/>
          <w:sz w:val="22"/>
          <w:szCs w:val="22"/>
          <w:lang w:eastAsia="en-US"/>
        </w:rPr>
      </w:pPr>
    </w:p>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color w:val="auto"/>
          <w:sz w:val="22"/>
          <w:szCs w:val="22"/>
          <w:lang w:eastAsia="en-US"/>
        </w:rPr>
        <w:t>Ward Breakdown of claimed activity as at 2015/16 R14 Hard Close</w:t>
      </w:r>
    </w:p>
    <w:tbl>
      <w:tblPr>
        <w:tblW w:w="9180" w:type="dxa"/>
        <w:tblCellMar>
          <w:left w:w="0" w:type="dxa"/>
          <w:right w:w="0" w:type="dxa"/>
        </w:tblCellMar>
        <w:tblLook w:val="04A0" w:firstRow="1" w:lastRow="0" w:firstColumn="1" w:lastColumn="0" w:noHBand="0" w:noVBand="1"/>
      </w:tblPr>
      <w:tblGrid>
        <w:gridCol w:w="4503"/>
        <w:gridCol w:w="4677"/>
      </w:tblGrid>
      <w:tr w:rsidR="00F573DB" w:rsidRPr="00F573DB" w:rsidTr="00283CC1">
        <w:trPr>
          <w:trHeight w:val="300"/>
        </w:trPr>
        <w:tc>
          <w:tcPr>
            <w:tcW w:w="4503" w:type="dxa"/>
            <w:tcBorders>
              <w:top w:val="single" w:sz="6" w:space="0" w:color="383A3B"/>
              <w:left w:val="single" w:sz="6" w:space="0" w:color="383A3B"/>
              <w:bottom w:val="single" w:sz="6" w:space="0" w:color="383A3B"/>
              <w:right w:val="single" w:sz="6" w:space="0" w:color="383A3B"/>
            </w:tcBorders>
            <w:shd w:val="clear" w:color="auto" w:fill="BDD6EE" w:themeFill="accent1" w:themeFillTint="66"/>
            <w:tcMar>
              <w:top w:w="15" w:type="dxa"/>
              <w:left w:w="108" w:type="dxa"/>
              <w:bottom w:w="0" w:type="dxa"/>
              <w:right w:w="108"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color w:val="auto"/>
                <w:sz w:val="22"/>
                <w:szCs w:val="22"/>
                <w:lang w:eastAsia="en-US"/>
              </w:rPr>
              <w:t>PARTICIPANTS</w:t>
            </w:r>
          </w:p>
        </w:tc>
        <w:tc>
          <w:tcPr>
            <w:tcW w:w="4677" w:type="dxa"/>
            <w:tcBorders>
              <w:top w:val="single" w:sz="6" w:space="0" w:color="383A3B"/>
              <w:left w:val="single" w:sz="6" w:space="0" w:color="383A3B"/>
              <w:bottom w:val="single" w:sz="6" w:space="0" w:color="383A3B"/>
              <w:right w:val="single" w:sz="6" w:space="0" w:color="383A3B"/>
            </w:tcBorders>
            <w:shd w:val="clear" w:color="auto" w:fill="BDD6EE" w:themeFill="accent1" w:themeFillTint="66"/>
            <w:tcMar>
              <w:top w:w="15" w:type="dxa"/>
              <w:left w:w="108" w:type="dxa"/>
              <w:bottom w:w="0" w:type="dxa"/>
              <w:right w:w="108"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bCs/>
                <w:color w:val="auto"/>
                <w:sz w:val="22"/>
                <w:szCs w:val="22"/>
                <w:lang w:eastAsia="en-US"/>
              </w:rPr>
              <w:t>VOLUME</w:t>
            </w:r>
          </w:p>
        </w:tc>
      </w:tr>
      <w:tr w:rsidR="00F573DB" w:rsidRPr="00F573DB" w:rsidTr="00283CC1">
        <w:trPr>
          <w:trHeight w:val="300"/>
        </w:trPr>
        <w:tc>
          <w:tcPr>
            <w:tcW w:w="4503" w:type="dxa"/>
            <w:tcBorders>
              <w:top w:val="single" w:sz="6" w:space="0" w:color="383A3B"/>
              <w:left w:val="single" w:sz="6" w:space="0" w:color="383A3B"/>
              <w:bottom w:val="single" w:sz="6" w:space="0" w:color="383A3B"/>
              <w:right w:val="single" w:sz="6" w:space="0" w:color="383A3B"/>
            </w:tcBorders>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bCs/>
                <w:color w:val="auto"/>
                <w:sz w:val="22"/>
                <w:szCs w:val="22"/>
                <w:lang w:eastAsia="en-US"/>
              </w:rPr>
              <w:t>Claimed Participants</w:t>
            </w:r>
          </w:p>
        </w:tc>
        <w:tc>
          <w:tcPr>
            <w:tcW w:w="4677" w:type="dxa"/>
            <w:tcBorders>
              <w:top w:val="single" w:sz="6" w:space="0" w:color="383A3B"/>
              <w:left w:val="single" w:sz="6" w:space="0" w:color="383A3B"/>
              <w:bottom w:val="single" w:sz="6" w:space="0" w:color="383A3B"/>
              <w:right w:val="single" w:sz="6" w:space="0" w:color="383A3B"/>
            </w:tcBorders>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color w:val="auto"/>
                <w:sz w:val="22"/>
                <w:szCs w:val="22"/>
                <w:lang w:eastAsia="en-US"/>
              </w:rPr>
              <w:t>220</w:t>
            </w:r>
          </w:p>
        </w:tc>
      </w:tr>
      <w:tr w:rsidR="00F573DB" w:rsidRPr="00F573DB" w:rsidTr="00283CC1">
        <w:trPr>
          <w:trHeight w:val="300"/>
        </w:trPr>
        <w:tc>
          <w:tcPr>
            <w:tcW w:w="4503" w:type="dxa"/>
            <w:tcBorders>
              <w:top w:val="single" w:sz="6" w:space="0" w:color="383A3B"/>
              <w:left w:val="single" w:sz="6" w:space="0" w:color="383A3B"/>
              <w:bottom w:val="single" w:sz="6" w:space="0" w:color="383A3B"/>
              <w:right w:val="single" w:sz="6" w:space="0" w:color="383A3B"/>
            </w:tcBorders>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bCs/>
                <w:color w:val="auto"/>
                <w:sz w:val="22"/>
                <w:szCs w:val="22"/>
                <w:lang w:eastAsia="en-US"/>
              </w:rPr>
              <w:t>Participants from Target Wards</w:t>
            </w:r>
          </w:p>
        </w:tc>
        <w:tc>
          <w:tcPr>
            <w:tcW w:w="4677" w:type="dxa"/>
            <w:tcBorders>
              <w:top w:val="single" w:sz="6" w:space="0" w:color="383A3B"/>
              <w:left w:val="single" w:sz="6" w:space="0" w:color="383A3B"/>
              <w:bottom w:val="single" w:sz="6" w:space="0" w:color="383A3B"/>
              <w:right w:val="single" w:sz="6" w:space="0" w:color="383A3B"/>
            </w:tcBorders>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color w:val="auto"/>
                <w:sz w:val="22"/>
                <w:szCs w:val="22"/>
                <w:lang w:eastAsia="en-US"/>
              </w:rPr>
              <w:t>82</w:t>
            </w:r>
          </w:p>
        </w:tc>
      </w:tr>
      <w:tr w:rsidR="00F573DB" w:rsidRPr="00F573DB" w:rsidTr="00283CC1">
        <w:trPr>
          <w:trHeight w:val="300"/>
        </w:trPr>
        <w:tc>
          <w:tcPr>
            <w:tcW w:w="4503" w:type="dxa"/>
            <w:tcBorders>
              <w:top w:val="single" w:sz="6" w:space="0" w:color="383A3B"/>
              <w:left w:val="single" w:sz="6" w:space="0" w:color="383A3B"/>
              <w:bottom w:val="single" w:sz="6" w:space="0" w:color="383A3B"/>
              <w:right w:val="single" w:sz="6" w:space="0" w:color="383A3B"/>
            </w:tcBorders>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bCs/>
                <w:color w:val="auto"/>
                <w:sz w:val="22"/>
                <w:szCs w:val="22"/>
                <w:lang w:eastAsia="en-US"/>
              </w:rPr>
              <w:t>%</w:t>
            </w:r>
          </w:p>
        </w:tc>
        <w:tc>
          <w:tcPr>
            <w:tcW w:w="4677" w:type="dxa"/>
            <w:tcBorders>
              <w:top w:val="single" w:sz="6" w:space="0" w:color="383A3B"/>
              <w:left w:val="single" w:sz="6" w:space="0" w:color="383A3B"/>
              <w:bottom w:val="single" w:sz="6" w:space="0" w:color="383A3B"/>
              <w:right w:val="single" w:sz="6" w:space="0" w:color="383A3B"/>
            </w:tcBorders>
            <w:shd w:val="clear" w:color="auto" w:fill="auto"/>
            <w:tcMar>
              <w:top w:w="15" w:type="dxa"/>
              <w:left w:w="108" w:type="dxa"/>
              <w:bottom w:w="0" w:type="dxa"/>
              <w:right w:w="108"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color w:val="auto"/>
                <w:sz w:val="22"/>
                <w:szCs w:val="22"/>
                <w:lang w:eastAsia="en-US"/>
              </w:rPr>
              <w:t>37%</w:t>
            </w:r>
          </w:p>
        </w:tc>
      </w:tr>
    </w:tbl>
    <w:p w:rsidR="00F573DB" w:rsidRPr="00F573DB" w:rsidRDefault="00F573DB" w:rsidP="00F573DB">
      <w:pPr>
        <w:spacing w:after="160" w:line="259" w:lineRule="auto"/>
        <w:ind w:left="0" w:firstLine="0"/>
        <w:rPr>
          <w:rFonts w:eastAsiaTheme="minorHAnsi"/>
          <w:b/>
          <w:color w:val="auto"/>
          <w:sz w:val="22"/>
          <w:szCs w:val="22"/>
          <w:lang w:eastAsia="en-US"/>
        </w:rPr>
      </w:pPr>
    </w:p>
    <w:p w:rsidR="00F573DB" w:rsidRPr="00F573DB" w:rsidRDefault="00F573DB" w:rsidP="00F573DB">
      <w:pPr>
        <w:spacing w:after="160" w:line="259" w:lineRule="auto"/>
        <w:ind w:left="0" w:firstLine="0"/>
        <w:rPr>
          <w:rFonts w:eastAsiaTheme="minorHAnsi"/>
          <w:b/>
          <w:color w:val="auto"/>
          <w:sz w:val="22"/>
          <w:szCs w:val="22"/>
          <w:lang w:eastAsia="en-US"/>
        </w:rPr>
      </w:pPr>
      <w:r w:rsidRPr="00F573DB">
        <w:rPr>
          <w:rFonts w:eastAsiaTheme="minorHAnsi"/>
          <w:b/>
          <w:color w:val="auto"/>
          <w:sz w:val="22"/>
          <w:szCs w:val="22"/>
          <w:lang w:eastAsia="en-US"/>
        </w:rPr>
        <w:t>Target Group breakdown of claimed Individuals at 2015/16 R14 Hard Close</w:t>
      </w:r>
    </w:p>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Data has been recorded by the providers for 132 (60%) of the 220 learners. Multiple barriers have been identified for many of these learners. Collection mechanisms allow for up to 4 barriers per learner to be recorded.</w:t>
      </w:r>
    </w:p>
    <w:p w:rsidR="00F573DB" w:rsidRPr="00F573DB" w:rsidRDefault="00F573DB" w:rsidP="00F573DB">
      <w:pPr>
        <w:spacing w:after="160" w:line="259" w:lineRule="auto"/>
        <w:ind w:left="0" w:firstLine="0"/>
        <w:jc w:val="both"/>
        <w:rPr>
          <w:rFonts w:eastAsiaTheme="minorHAnsi"/>
          <w:b/>
          <w:color w:val="auto"/>
          <w:sz w:val="22"/>
          <w:szCs w:val="22"/>
          <w:lang w:eastAsia="en-US"/>
        </w:rPr>
      </w:pPr>
    </w:p>
    <w:tbl>
      <w:tblPr>
        <w:tblW w:w="9028" w:type="dxa"/>
        <w:tblCellMar>
          <w:left w:w="0" w:type="dxa"/>
          <w:right w:w="0" w:type="dxa"/>
        </w:tblCellMar>
        <w:tblLook w:val="04A0" w:firstRow="1" w:lastRow="0" w:firstColumn="1" w:lastColumn="0" w:noHBand="0" w:noVBand="1"/>
      </w:tblPr>
      <w:tblGrid>
        <w:gridCol w:w="7043"/>
        <w:gridCol w:w="1985"/>
      </w:tblGrid>
      <w:tr w:rsidR="00F573DB" w:rsidRPr="00F573DB" w:rsidTr="00283CC1">
        <w:trPr>
          <w:trHeight w:val="269"/>
        </w:trPr>
        <w:tc>
          <w:tcPr>
            <w:tcW w:w="7043" w:type="dxa"/>
            <w:tcBorders>
              <w:top w:val="single" w:sz="6" w:space="0" w:color="383A3B"/>
              <w:left w:val="single" w:sz="6" w:space="0" w:color="383A3B"/>
              <w:bottom w:val="single" w:sz="8" w:space="0" w:color="383A3B"/>
              <w:right w:val="single" w:sz="6" w:space="0" w:color="383A3B"/>
            </w:tcBorders>
            <w:shd w:val="clear" w:color="auto" w:fill="BDD6EE" w:themeFill="accent1" w:themeFillTint="66"/>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bCs/>
                <w:color w:val="auto"/>
                <w:sz w:val="22"/>
                <w:szCs w:val="22"/>
                <w:lang w:eastAsia="en-US"/>
              </w:rPr>
              <w:t>TARGET GROUPS</w:t>
            </w:r>
          </w:p>
        </w:tc>
        <w:tc>
          <w:tcPr>
            <w:tcW w:w="1985" w:type="dxa"/>
            <w:tcBorders>
              <w:top w:val="single" w:sz="6" w:space="0" w:color="383A3B"/>
              <w:left w:val="single" w:sz="6" w:space="0" w:color="383A3B"/>
              <w:bottom w:val="single" w:sz="8" w:space="0" w:color="383A3B"/>
              <w:right w:val="single" w:sz="6" w:space="0" w:color="383A3B"/>
            </w:tcBorders>
            <w:shd w:val="clear" w:color="auto" w:fill="BDD6EE" w:themeFill="accent1" w:themeFillTint="66"/>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bCs/>
                <w:color w:val="auto"/>
                <w:sz w:val="22"/>
                <w:szCs w:val="22"/>
                <w:lang w:eastAsia="en-US"/>
              </w:rPr>
              <w:t>VOLUME</w:t>
            </w:r>
          </w:p>
        </w:tc>
      </w:tr>
      <w:tr w:rsidR="00F573DB" w:rsidRPr="00F573DB" w:rsidTr="00283CC1">
        <w:trPr>
          <w:trHeight w:val="269"/>
        </w:trPr>
        <w:tc>
          <w:tcPr>
            <w:tcW w:w="7043" w:type="dxa"/>
            <w:tcBorders>
              <w:top w:val="single" w:sz="8"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bCs/>
                <w:color w:val="auto"/>
                <w:sz w:val="22"/>
                <w:szCs w:val="22"/>
                <w:lang w:eastAsia="en-US"/>
              </w:rPr>
              <w:t>16-18 with Learning Difficulty and/or Disability</w:t>
            </w:r>
          </w:p>
        </w:tc>
        <w:tc>
          <w:tcPr>
            <w:tcW w:w="1985" w:type="dxa"/>
            <w:tcBorders>
              <w:top w:val="single" w:sz="8"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color w:val="auto"/>
                <w:sz w:val="22"/>
                <w:szCs w:val="22"/>
                <w:lang w:eastAsia="en-US"/>
              </w:rPr>
              <w:t>19</w:t>
            </w:r>
          </w:p>
        </w:tc>
      </w:tr>
      <w:tr w:rsidR="00F573DB" w:rsidRPr="00F573DB" w:rsidTr="00283CC1">
        <w:trPr>
          <w:trHeight w:val="269"/>
        </w:trPr>
        <w:tc>
          <w:tcPr>
            <w:tcW w:w="7043" w:type="dxa"/>
            <w:tcBorders>
              <w:top w:val="single" w:sz="6"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bCs/>
                <w:color w:val="auto"/>
                <w:sz w:val="22"/>
                <w:szCs w:val="22"/>
                <w:lang w:eastAsia="en-US"/>
              </w:rPr>
              <w:t xml:space="preserve">19-24 SEND </w:t>
            </w:r>
            <w:r w:rsidRPr="00F573DB">
              <w:rPr>
                <w:rFonts w:eastAsiaTheme="minorHAnsi"/>
                <w:b/>
                <w:bCs/>
                <w:color w:val="auto"/>
                <w:sz w:val="22"/>
                <w:szCs w:val="22"/>
                <w:u w:val="single"/>
                <w:lang w:eastAsia="en-US"/>
              </w:rPr>
              <w:t>AND</w:t>
            </w:r>
            <w:r w:rsidRPr="00F573DB">
              <w:rPr>
                <w:rFonts w:eastAsiaTheme="minorHAnsi"/>
                <w:b/>
                <w:bCs/>
                <w:color w:val="auto"/>
                <w:sz w:val="22"/>
                <w:szCs w:val="22"/>
                <w:lang w:eastAsia="en-US"/>
              </w:rPr>
              <w:t xml:space="preserve"> with EHCP</w:t>
            </w:r>
          </w:p>
        </w:tc>
        <w:tc>
          <w:tcPr>
            <w:tcW w:w="1985" w:type="dxa"/>
            <w:tcBorders>
              <w:top w:val="single" w:sz="6"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color w:val="auto"/>
                <w:sz w:val="22"/>
                <w:szCs w:val="22"/>
                <w:lang w:eastAsia="en-US"/>
              </w:rPr>
              <w:t>2</w:t>
            </w:r>
          </w:p>
        </w:tc>
      </w:tr>
      <w:tr w:rsidR="00F573DB" w:rsidRPr="00F573DB" w:rsidTr="00283CC1">
        <w:trPr>
          <w:trHeight w:val="269"/>
        </w:trPr>
        <w:tc>
          <w:tcPr>
            <w:tcW w:w="7043" w:type="dxa"/>
            <w:tcBorders>
              <w:top w:val="single" w:sz="6"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bCs/>
                <w:color w:val="auto"/>
                <w:sz w:val="22"/>
                <w:szCs w:val="22"/>
                <w:lang w:eastAsia="en-US"/>
              </w:rPr>
              <w:t>Drug &amp; Alcohol Misuse</w:t>
            </w:r>
          </w:p>
        </w:tc>
        <w:tc>
          <w:tcPr>
            <w:tcW w:w="1985" w:type="dxa"/>
            <w:tcBorders>
              <w:top w:val="single" w:sz="6"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color w:val="auto"/>
                <w:sz w:val="22"/>
                <w:szCs w:val="22"/>
                <w:lang w:eastAsia="en-US"/>
              </w:rPr>
              <w:t>16</w:t>
            </w:r>
          </w:p>
        </w:tc>
      </w:tr>
      <w:tr w:rsidR="00F573DB" w:rsidRPr="00F573DB" w:rsidTr="00283CC1">
        <w:trPr>
          <w:trHeight w:val="269"/>
        </w:trPr>
        <w:tc>
          <w:tcPr>
            <w:tcW w:w="7043" w:type="dxa"/>
            <w:tcBorders>
              <w:top w:val="single" w:sz="6"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bCs/>
                <w:color w:val="auto"/>
                <w:sz w:val="22"/>
                <w:szCs w:val="22"/>
                <w:lang w:eastAsia="en-US"/>
              </w:rPr>
              <w:t>Emotional / Behavioural / Mental Health Issues</w:t>
            </w:r>
          </w:p>
        </w:tc>
        <w:tc>
          <w:tcPr>
            <w:tcW w:w="1985" w:type="dxa"/>
            <w:tcBorders>
              <w:top w:val="single" w:sz="6"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color w:val="auto"/>
                <w:sz w:val="22"/>
                <w:szCs w:val="22"/>
                <w:lang w:eastAsia="en-US"/>
              </w:rPr>
              <w:t>80</w:t>
            </w:r>
          </w:p>
        </w:tc>
      </w:tr>
      <w:tr w:rsidR="00F573DB" w:rsidRPr="00F573DB" w:rsidTr="00283CC1">
        <w:trPr>
          <w:trHeight w:val="269"/>
        </w:trPr>
        <w:tc>
          <w:tcPr>
            <w:tcW w:w="7043" w:type="dxa"/>
            <w:tcBorders>
              <w:top w:val="single" w:sz="6"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bCs/>
                <w:color w:val="auto"/>
                <w:sz w:val="22"/>
                <w:szCs w:val="22"/>
                <w:lang w:eastAsia="en-US"/>
              </w:rPr>
              <w:t>Family Issues</w:t>
            </w:r>
          </w:p>
        </w:tc>
        <w:tc>
          <w:tcPr>
            <w:tcW w:w="1985" w:type="dxa"/>
            <w:tcBorders>
              <w:top w:val="single" w:sz="6"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color w:val="auto"/>
                <w:sz w:val="22"/>
                <w:szCs w:val="22"/>
                <w:lang w:eastAsia="en-US"/>
              </w:rPr>
              <w:t>28</w:t>
            </w:r>
          </w:p>
        </w:tc>
      </w:tr>
      <w:tr w:rsidR="00F573DB" w:rsidRPr="00F573DB" w:rsidTr="00283CC1">
        <w:trPr>
          <w:trHeight w:val="269"/>
        </w:trPr>
        <w:tc>
          <w:tcPr>
            <w:tcW w:w="7043" w:type="dxa"/>
            <w:tcBorders>
              <w:top w:val="single" w:sz="6"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bCs/>
                <w:color w:val="auto"/>
                <w:sz w:val="22"/>
                <w:szCs w:val="22"/>
                <w:lang w:eastAsia="en-US"/>
              </w:rPr>
              <w:t>Free School Meals Pupil</w:t>
            </w:r>
          </w:p>
        </w:tc>
        <w:tc>
          <w:tcPr>
            <w:tcW w:w="1985" w:type="dxa"/>
            <w:tcBorders>
              <w:top w:val="single" w:sz="6"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color w:val="auto"/>
                <w:sz w:val="22"/>
                <w:szCs w:val="22"/>
                <w:lang w:eastAsia="en-US"/>
              </w:rPr>
              <w:t>5</w:t>
            </w:r>
          </w:p>
        </w:tc>
      </w:tr>
      <w:tr w:rsidR="00F573DB" w:rsidRPr="00F573DB" w:rsidTr="00283CC1">
        <w:trPr>
          <w:trHeight w:val="269"/>
        </w:trPr>
        <w:tc>
          <w:tcPr>
            <w:tcW w:w="7043" w:type="dxa"/>
            <w:tcBorders>
              <w:top w:val="single" w:sz="6"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bCs/>
                <w:color w:val="auto"/>
                <w:sz w:val="22"/>
                <w:szCs w:val="22"/>
                <w:lang w:eastAsia="en-US"/>
              </w:rPr>
              <w:t>Health Issues</w:t>
            </w:r>
          </w:p>
        </w:tc>
        <w:tc>
          <w:tcPr>
            <w:tcW w:w="1985" w:type="dxa"/>
            <w:tcBorders>
              <w:top w:val="single" w:sz="6"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color w:val="auto"/>
                <w:sz w:val="22"/>
                <w:szCs w:val="22"/>
                <w:lang w:eastAsia="en-US"/>
              </w:rPr>
              <w:t>35</w:t>
            </w:r>
          </w:p>
        </w:tc>
      </w:tr>
      <w:tr w:rsidR="00F573DB" w:rsidRPr="00F573DB" w:rsidTr="00283CC1">
        <w:trPr>
          <w:trHeight w:val="269"/>
        </w:trPr>
        <w:tc>
          <w:tcPr>
            <w:tcW w:w="7043" w:type="dxa"/>
            <w:tcBorders>
              <w:top w:val="single" w:sz="6"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bCs/>
                <w:color w:val="auto"/>
                <w:sz w:val="22"/>
                <w:szCs w:val="22"/>
                <w:lang w:eastAsia="en-US"/>
              </w:rPr>
              <w:t>Linked to YOT</w:t>
            </w:r>
          </w:p>
        </w:tc>
        <w:tc>
          <w:tcPr>
            <w:tcW w:w="1985" w:type="dxa"/>
            <w:tcBorders>
              <w:top w:val="single" w:sz="6"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color w:val="auto"/>
                <w:sz w:val="22"/>
                <w:szCs w:val="22"/>
                <w:lang w:eastAsia="en-US"/>
              </w:rPr>
              <w:t>9</w:t>
            </w:r>
          </w:p>
        </w:tc>
      </w:tr>
      <w:tr w:rsidR="00F573DB" w:rsidRPr="00F573DB" w:rsidTr="00283CC1">
        <w:trPr>
          <w:trHeight w:val="269"/>
        </w:trPr>
        <w:tc>
          <w:tcPr>
            <w:tcW w:w="7043" w:type="dxa"/>
            <w:tcBorders>
              <w:top w:val="single" w:sz="6"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bCs/>
                <w:color w:val="auto"/>
                <w:sz w:val="22"/>
                <w:szCs w:val="22"/>
                <w:lang w:eastAsia="en-US"/>
              </w:rPr>
              <w:t>Looked after child / care leaver</w:t>
            </w:r>
          </w:p>
        </w:tc>
        <w:tc>
          <w:tcPr>
            <w:tcW w:w="1985" w:type="dxa"/>
            <w:tcBorders>
              <w:top w:val="single" w:sz="6"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color w:val="auto"/>
                <w:sz w:val="22"/>
                <w:szCs w:val="22"/>
                <w:lang w:eastAsia="en-US"/>
              </w:rPr>
              <w:t>19</w:t>
            </w:r>
          </w:p>
        </w:tc>
      </w:tr>
      <w:tr w:rsidR="00F573DB" w:rsidRPr="00F573DB" w:rsidTr="00283CC1">
        <w:trPr>
          <w:trHeight w:val="269"/>
        </w:trPr>
        <w:tc>
          <w:tcPr>
            <w:tcW w:w="7043" w:type="dxa"/>
            <w:tcBorders>
              <w:top w:val="single" w:sz="6"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bCs/>
                <w:color w:val="auto"/>
                <w:sz w:val="22"/>
                <w:szCs w:val="22"/>
                <w:lang w:eastAsia="en-US"/>
              </w:rPr>
              <w:t>Other</w:t>
            </w:r>
          </w:p>
        </w:tc>
        <w:tc>
          <w:tcPr>
            <w:tcW w:w="1985" w:type="dxa"/>
            <w:tcBorders>
              <w:top w:val="single" w:sz="6"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color w:val="auto"/>
                <w:sz w:val="22"/>
                <w:szCs w:val="22"/>
                <w:lang w:eastAsia="en-US"/>
              </w:rPr>
              <w:t>4</w:t>
            </w:r>
          </w:p>
        </w:tc>
      </w:tr>
      <w:tr w:rsidR="00F573DB" w:rsidRPr="00F573DB" w:rsidTr="00283CC1">
        <w:trPr>
          <w:trHeight w:val="269"/>
        </w:trPr>
        <w:tc>
          <w:tcPr>
            <w:tcW w:w="7043" w:type="dxa"/>
            <w:tcBorders>
              <w:top w:val="single" w:sz="6"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bCs/>
                <w:color w:val="auto"/>
                <w:sz w:val="22"/>
                <w:szCs w:val="22"/>
                <w:lang w:eastAsia="en-US"/>
              </w:rPr>
              <w:t>Teenage / Young Parent</w:t>
            </w:r>
          </w:p>
        </w:tc>
        <w:tc>
          <w:tcPr>
            <w:tcW w:w="1985" w:type="dxa"/>
            <w:tcBorders>
              <w:top w:val="single" w:sz="6"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color w:val="auto"/>
                <w:sz w:val="22"/>
                <w:szCs w:val="22"/>
                <w:lang w:eastAsia="en-US"/>
              </w:rPr>
              <w:t>6</w:t>
            </w:r>
          </w:p>
        </w:tc>
      </w:tr>
      <w:tr w:rsidR="00F573DB" w:rsidRPr="00F573DB" w:rsidTr="00283CC1">
        <w:trPr>
          <w:trHeight w:val="269"/>
        </w:trPr>
        <w:tc>
          <w:tcPr>
            <w:tcW w:w="7043" w:type="dxa"/>
            <w:tcBorders>
              <w:top w:val="single" w:sz="6"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bCs/>
                <w:color w:val="auto"/>
                <w:sz w:val="22"/>
                <w:szCs w:val="22"/>
                <w:lang w:eastAsia="en-US"/>
              </w:rPr>
              <w:t>Young Carer</w:t>
            </w:r>
          </w:p>
        </w:tc>
        <w:tc>
          <w:tcPr>
            <w:tcW w:w="1985" w:type="dxa"/>
            <w:tcBorders>
              <w:top w:val="single" w:sz="6"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color w:val="auto"/>
                <w:sz w:val="22"/>
                <w:szCs w:val="22"/>
                <w:lang w:eastAsia="en-US"/>
              </w:rPr>
              <w:t>2</w:t>
            </w:r>
          </w:p>
        </w:tc>
      </w:tr>
      <w:tr w:rsidR="00F573DB" w:rsidRPr="00F573DB" w:rsidTr="00283CC1">
        <w:trPr>
          <w:trHeight w:val="506"/>
        </w:trPr>
        <w:tc>
          <w:tcPr>
            <w:tcW w:w="7043" w:type="dxa"/>
            <w:tcBorders>
              <w:top w:val="single" w:sz="6"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bCs/>
                <w:color w:val="auto"/>
                <w:sz w:val="22"/>
                <w:szCs w:val="22"/>
                <w:lang w:eastAsia="en-US"/>
              </w:rPr>
              <w:t>Young Person from Gypsy, Roma and Traveller Communities</w:t>
            </w:r>
          </w:p>
        </w:tc>
        <w:tc>
          <w:tcPr>
            <w:tcW w:w="1985" w:type="dxa"/>
            <w:tcBorders>
              <w:top w:val="single" w:sz="6" w:space="0" w:color="383A3B"/>
              <w:left w:val="single" w:sz="6" w:space="0" w:color="383A3B"/>
              <w:bottom w:val="single" w:sz="6" w:space="0" w:color="383A3B"/>
              <w:right w:val="single" w:sz="6" w:space="0" w:color="383A3B"/>
            </w:tcBorders>
            <w:shd w:val="clear" w:color="auto" w:fill="auto"/>
            <w:tcMar>
              <w:top w:w="15" w:type="dxa"/>
              <w:left w:w="97" w:type="dxa"/>
              <w:bottom w:w="0" w:type="dxa"/>
              <w:right w:w="97" w:type="dxa"/>
            </w:tcMar>
            <w:vAlign w:val="bottom"/>
            <w:hideMark/>
          </w:tcPr>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color w:val="auto"/>
                <w:sz w:val="22"/>
                <w:szCs w:val="22"/>
                <w:lang w:eastAsia="en-US"/>
              </w:rPr>
              <w:t>2</w:t>
            </w:r>
          </w:p>
        </w:tc>
      </w:tr>
    </w:tbl>
    <w:p w:rsidR="00F573DB" w:rsidRPr="00F573DB" w:rsidRDefault="00F573DB" w:rsidP="00F573DB">
      <w:pPr>
        <w:spacing w:after="160" w:line="259" w:lineRule="auto"/>
        <w:ind w:left="0" w:firstLine="0"/>
        <w:jc w:val="both"/>
        <w:rPr>
          <w:rFonts w:eastAsiaTheme="minorHAnsi"/>
          <w:color w:val="auto"/>
          <w:sz w:val="22"/>
          <w:szCs w:val="22"/>
          <w:lang w:eastAsia="en-US"/>
        </w:rPr>
      </w:pPr>
    </w:p>
    <w:p w:rsidR="00F573DB" w:rsidRPr="00F573DB" w:rsidRDefault="00F573DB" w:rsidP="00F573DB">
      <w:pPr>
        <w:spacing w:after="160" w:line="259" w:lineRule="auto"/>
        <w:ind w:left="567" w:firstLine="0"/>
        <w:contextualSpacing/>
        <w:jc w:val="both"/>
        <w:rPr>
          <w:rFonts w:eastAsiaTheme="minorHAnsi"/>
          <w:color w:val="auto"/>
          <w:sz w:val="22"/>
          <w:szCs w:val="22"/>
          <w:lang w:eastAsia="en-US"/>
        </w:rPr>
      </w:pPr>
    </w:p>
    <w:p w:rsidR="00F573DB" w:rsidRPr="00F573DB" w:rsidRDefault="00F573DB" w:rsidP="00F573DB">
      <w:pPr>
        <w:numPr>
          <w:ilvl w:val="0"/>
          <w:numId w:val="7"/>
        </w:numPr>
        <w:spacing w:after="160" w:line="259" w:lineRule="auto"/>
        <w:ind w:hanging="862"/>
        <w:contextualSpacing/>
        <w:jc w:val="both"/>
        <w:rPr>
          <w:rFonts w:eastAsiaTheme="minorHAnsi"/>
          <w:b/>
          <w:color w:val="auto"/>
          <w:sz w:val="22"/>
          <w:szCs w:val="22"/>
          <w:lang w:eastAsia="en-US"/>
        </w:rPr>
      </w:pPr>
      <w:r w:rsidRPr="00F573DB">
        <w:rPr>
          <w:rFonts w:eastAsiaTheme="minorHAnsi"/>
          <w:b/>
          <w:color w:val="auto"/>
          <w:sz w:val="22"/>
          <w:szCs w:val="22"/>
          <w:lang w:eastAsia="en-US"/>
        </w:rPr>
        <w:t>Showcasing – Case Studies</w:t>
      </w:r>
    </w:p>
    <w:p w:rsidR="00F573DB" w:rsidRPr="00F573DB" w:rsidRDefault="00F573DB" w:rsidP="00F573DB">
      <w:pPr>
        <w:spacing w:after="160" w:line="259" w:lineRule="auto"/>
        <w:ind w:left="1080" w:firstLine="0"/>
        <w:contextualSpacing/>
        <w:jc w:val="both"/>
        <w:rPr>
          <w:rFonts w:eastAsiaTheme="minorHAnsi"/>
          <w:b/>
          <w:color w:val="auto"/>
          <w:sz w:val="22"/>
          <w:szCs w:val="22"/>
          <w:lang w:eastAsia="en-US"/>
        </w:rPr>
      </w:pPr>
    </w:p>
    <w:p w:rsidR="00F573DB" w:rsidRPr="00F573DB" w:rsidRDefault="00F573DB" w:rsidP="00F573DB">
      <w:pPr>
        <w:numPr>
          <w:ilvl w:val="0"/>
          <w:numId w:val="5"/>
        </w:numPr>
        <w:spacing w:after="160" w:line="259" w:lineRule="auto"/>
        <w:ind w:hanging="720"/>
        <w:contextualSpacing/>
        <w:jc w:val="both"/>
        <w:rPr>
          <w:rFonts w:eastAsiaTheme="minorHAnsi"/>
          <w:color w:val="auto"/>
          <w:sz w:val="22"/>
          <w:szCs w:val="22"/>
          <w:lang w:eastAsia="en-US"/>
        </w:rPr>
      </w:pPr>
      <w:r w:rsidRPr="00F573DB">
        <w:rPr>
          <w:rFonts w:eastAsiaTheme="minorHAnsi"/>
          <w:color w:val="auto"/>
          <w:sz w:val="22"/>
          <w:szCs w:val="22"/>
          <w:lang w:eastAsia="en-US"/>
        </w:rPr>
        <w:t xml:space="preserve">Creative Works Preston </w:t>
      </w:r>
    </w:p>
    <w:p w:rsidR="00F573DB" w:rsidRPr="00F573DB" w:rsidRDefault="00F573DB" w:rsidP="00F573DB">
      <w:pPr>
        <w:numPr>
          <w:ilvl w:val="0"/>
          <w:numId w:val="5"/>
        </w:numPr>
        <w:spacing w:after="160" w:line="259" w:lineRule="auto"/>
        <w:ind w:hanging="720"/>
        <w:contextualSpacing/>
        <w:jc w:val="both"/>
        <w:rPr>
          <w:rFonts w:eastAsiaTheme="minorHAnsi"/>
          <w:color w:val="auto"/>
          <w:sz w:val="22"/>
          <w:szCs w:val="22"/>
          <w:lang w:eastAsia="en-US"/>
        </w:rPr>
      </w:pPr>
      <w:r w:rsidRPr="00F573DB">
        <w:rPr>
          <w:rFonts w:eastAsiaTheme="minorHAnsi"/>
          <w:color w:val="auto"/>
          <w:sz w:val="22"/>
          <w:szCs w:val="22"/>
          <w:lang w:eastAsia="en-US"/>
        </w:rPr>
        <w:t xml:space="preserve">Blackpool &amp; Fylde College </w:t>
      </w:r>
    </w:p>
    <w:p w:rsidR="00F573DB" w:rsidRPr="00F573DB" w:rsidRDefault="00F573DB" w:rsidP="00F573DB">
      <w:pPr>
        <w:spacing w:after="160" w:line="259" w:lineRule="auto"/>
        <w:ind w:left="720" w:firstLine="0"/>
        <w:contextualSpacing/>
        <w:jc w:val="both"/>
        <w:rPr>
          <w:rFonts w:eastAsiaTheme="minorHAnsi"/>
          <w:color w:val="auto"/>
          <w:sz w:val="22"/>
          <w:szCs w:val="22"/>
          <w:lang w:eastAsia="en-US"/>
        </w:rPr>
      </w:pPr>
    </w:p>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color w:val="auto"/>
          <w:sz w:val="22"/>
          <w:szCs w:val="22"/>
          <w:lang w:eastAsia="en-US"/>
        </w:rPr>
        <w:t xml:space="preserve">Consideration of these with analysis of volumes of 16-18 fully NEET gives indication that providers are working with the hardest to reach groups and that there is a clear focus on successful outcomes for learners. </w:t>
      </w:r>
      <w:r w:rsidR="00DF01A0">
        <w:rPr>
          <w:rFonts w:eastAsiaTheme="minorHAnsi"/>
          <w:color w:val="auto"/>
          <w:sz w:val="22"/>
          <w:szCs w:val="22"/>
          <w:lang w:eastAsia="en-US"/>
        </w:rPr>
        <w:t>The case studies will be presented at the committee meeting.</w:t>
      </w:r>
    </w:p>
    <w:p w:rsidR="00F573DB" w:rsidRPr="00F573DB" w:rsidRDefault="00F573DB" w:rsidP="00F573DB">
      <w:pPr>
        <w:spacing w:after="160" w:line="259" w:lineRule="auto"/>
        <w:ind w:left="0" w:firstLine="0"/>
        <w:jc w:val="both"/>
        <w:rPr>
          <w:rFonts w:eastAsiaTheme="minorHAnsi"/>
          <w:b/>
          <w:color w:val="auto"/>
          <w:sz w:val="22"/>
          <w:szCs w:val="22"/>
          <w:lang w:eastAsia="en-US"/>
        </w:rPr>
      </w:pPr>
    </w:p>
    <w:p w:rsidR="00F573DB" w:rsidRPr="00F573DB" w:rsidRDefault="00F573DB" w:rsidP="00F573DB">
      <w:pPr>
        <w:spacing w:after="160" w:line="259" w:lineRule="auto"/>
        <w:ind w:left="1080" w:firstLine="0"/>
        <w:contextualSpacing/>
        <w:jc w:val="both"/>
        <w:rPr>
          <w:rFonts w:eastAsiaTheme="minorHAnsi"/>
          <w:b/>
          <w:color w:val="auto"/>
          <w:sz w:val="22"/>
          <w:szCs w:val="22"/>
          <w:lang w:eastAsia="en-US"/>
        </w:rPr>
      </w:pPr>
    </w:p>
    <w:p w:rsidR="00F573DB" w:rsidRPr="00F573DB" w:rsidRDefault="00F573DB" w:rsidP="00F573DB">
      <w:pPr>
        <w:spacing w:after="160" w:line="259" w:lineRule="auto"/>
        <w:ind w:left="1080" w:firstLine="0"/>
        <w:contextualSpacing/>
        <w:jc w:val="both"/>
        <w:rPr>
          <w:rFonts w:eastAsiaTheme="minorHAnsi"/>
          <w:b/>
          <w:color w:val="auto"/>
          <w:sz w:val="22"/>
          <w:szCs w:val="22"/>
          <w:lang w:eastAsia="en-US"/>
        </w:rPr>
      </w:pPr>
    </w:p>
    <w:p w:rsidR="00F573DB" w:rsidRPr="00F573DB" w:rsidRDefault="00F573DB" w:rsidP="00F573DB">
      <w:pPr>
        <w:spacing w:after="160" w:line="259" w:lineRule="auto"/>
        <w:ind w:left="1080" w:firstLine="0"/>
        <w:contextualSpacing/>
        <w:jc w:val="both"/>
        <w:rPr>
          <w:rFonts w:eastAsiaTheme="minorHAnsi"/>
          <w:b/>
          <w:color w:val="auto"/>
          <w:sz w:val="22"/>
          <w:szCs w:val="22"/>
          <w:lang w:eastAsia="en-US"/>
        </w:rPr>
      </w:pPr>
    </w:p>
    <w:p w:rsidR="00F573DB" w:rsidRPr="00F573DB" w:rsidRDefault="00F573DB" w:rsidP="00F573DB">
      <w:pPr>
        <w:spacing w:after="160" w:line="259" w:lineRule="auto"/>
        <w:ind w:left="1080" w:firstLine="0"/>
        <w:contextualSpacing/>
        <w:jc w:val="both"/>
        <w:rPr>
          <w:rFonts w:eastAsiaTheme="minorHAnsi"/>
          <w:b/>
          <w:color w:val="auto"/>
          <w:sz w:val="22"/>
          <w:szCs w:val="22"/>
          <w:lang w:eastAsia="en-US"/>
        </w:rPr>
      </w:pPr>
    </w:p>
    <w:p w:rsidR="00F573DB" w:rsidRPr="00F573DB" w:rsidRDefault="00F573DB" w:rsidP="00F573DB">
      <w:pPr>
        <w:spacing w:after="160" w:line="259" w:lineRule="auto"/>
        <w:ind w:left="1080" w:firstLine="0"/>
        <w:contextualSpacing/>
        <w:jc w:val="both"/>
        <w:rPr>
          <w:rFonts w:eastAsiaTheme="minorHAnsi"/>
          <w:b/>
          <w:color w:val="auto"/>
          <w:sz w:val="22"/>
          <w:szCs w:val="22"/>
          <w:lang w:eastAsia="en-US"/>
        </w:rPr>
      </w:pPr>
    </w:p>
    <w:p w:rsidR="00F573DB" w:rsidRPr="00F573DB" w:rsidRDefault="00F573DB" w:rsidP="00F573DB">
      <w:pPr>
        <w:spacing w:after="160" w:line="259" w:lineRule="auto"/>
        <w:ind w:left="1080" w:firstLine="0"/>
        <w:contextualSpacing/>
        <w:jc w:val="both"/>
        <w:rPr>
          <w:rFonts w:eastAsiaTheme="minorHAnsi"/>
          <w:b/>
          <w:color w:val="auto"/>
          <w:sz w:val="22"/>
          <w:szCs w:val="22"/>
          <w:lang w:eastAsia="en-US"/>
        </w:rPr>
      </w:pPr>
    </w:p>
    <w:p w:rsidR="00F573DB" w:rsidRPr="00F573DB" w:rsidRDefault="00F573DB" w:rsidP="00F573DB">
      <w:pPr>
        <w:spacing w:after="160" w:line="259" w:lineRule="auto"/>
        <w:ind w:left="1080" w:firstLine="0"/>
        <w:contextualSpacing/>
        <w:jc w:val="both"/>
        <w:rPr>
          <w:rFonts w:eastAsiaTheme="minorHAnsi"/>
          <w:b/>
          <w:color w:val="auto"/>
          <w:sz w:val="22"/>
          <w:szCs w:val="22"/>
          <w:lang w:eastAsia="en-US"/>
        </w:rPr>
      </w:pPr>
    </w:p>
    <w:p w:rsidR="00F573DB" w:rsidRPr="00F573DB" w:rsidRDefault="00F573DB" w:rsidP="00F573DB">
      <w:pPr>
        <w:spacing w:after="160" w:line="259" w:lineRule="auto"/>
        <w:ind w:left="1080" w:firstLine="0"/>
        <w:contextualSpacing/>
        <w:jc w:val="both"/>
        <w:rPr>
          <w:rFonts w:eastAsiaTheme="minorHAnsi"/>
          <w:b/>
          <w:color w:val="auto"/>
          <w:sz w:val="22"/>
          <w:szCs w:val="22"/>
          <w:lang w:eastAsia="en-US"/>
        </w:rPr>
      </w:pPr>
    </w:p>
    <w:p w:rsidR="00F573DB" w:rsidRDefault="00F573DB" w:rsidP="00F573DB">
      <w:pPr>
        <w:numPr>
          <w:ilvl w:val="0"/>
          <w:numId w:val="7"/>
        </w:numPr>
        <w:spacing w:after="160" w:line="259" w:lineRule="auto"/>
        <w:ind w:hanging="720"/>
        <w:contextualSpacing/>
        <w:jc w:val="both"/>
        <w:rPr>
          <w:rFonts w:eastAsiaTheme="minorHAnsi"/>
          <w:b/>
          <w:color w:val="auto"/>
          <w:sz w:val="22"/>
          <w:szCs w:val="22"/>
          <w:lang w:eastAsia="en-US"/>
        </w:rPr>
      </w:pPr>
      <w:r w:rsidRPr="00F573DB">
        <w:rPr>
          <w:rFonts w:eastAsiaTheme="minorHAnsi"/>
          <w:b/>
          <w:color w:val="auto"/>
          <w:sz w:val="22"/>
          <w:szCs w:val="22"/>
          <w:lang w:eastAsia="en-US"/>
        </w:rPr>
        <w:t xml:space="preserve"> Capacity Building </w:t>
      </w:r>
    </w:p>
    <w:p w:rsidR="00DF01A0" w:rsidRPr="00F573DB" w:rsidRDefault="00DF01A0" w:rsidP="00DF01A0">
      <w:pPr>
        <w:spacing w:after="160" w:line="259" w:lineRule="auto"/>
        <w:ind w:left="720" w:firstLine="0"/>
        <w:contextualSpacing/>
        <w:jc w:val="both"/>
        <w:rPr>
          <w:rFonts w:eastAsiaTheme="minorHAnsi"/>
          <w:b/>
          <w:color w:val="auto"/>
          <w:sz w:val="22"/>
          <w:szCs w:val="22"/>
          <w:lang w:eastAsia="en-US"/>
        </w:rPr>
      </w:pPr>
    </w:p>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color w:val="auto"/>
          <w:sz w:val="22"/>
          <w:szCs w:val="22"/>
          <w:lang w:eastAsia="en-US"/>
        </w:rPr>
        <w:t>The LEP Service requirements specified the identification of £150,000 from project earnings to be allocated to the following:</w:t>
      </w:r>
    </w:p>
    <w:p w:rsidR="00F573DB" w:rsidRPr="00F573DB" w:rsidRDefault="00F573DB" w:rsidP="00F573DB">
      <w:pPr>
        <w:numPr>
          <w:ilvl w:val="0"/>
          <w:numId w:val="6"/>
        </w:numPr>
        <w:spacing w:after="160" w:line="259" w:lineRule="auto"/>
        <w:contextualSpacing/>
        <w:jc w:val="both"/>
        <w:rPr>
          <w:rFonts w:eastAsiaTheme="minorHAnsi"/>
          <w:color w:val="auto"/>
          <w:sz w:val="22"/>
          <w:szCs w:val="22"/>
          <w:lang w:eastAsia="en-US"/>
        </w:rPr>
      </w:pPr>
      <w:r w:rsidRPr="00F573DB">
        <w:rPr>
          <w:rFonts w:eastAsiaTheme="minorHAnsi"/>
          <w:color w:val="auto"/>
          <w:sz w:val="22"/>
          <w:szCs w:val="22"/>
          <w:lang w:eastAsia="en-US"/>
        </w:rPr>
        <w:t>Strategic Partnerships Manager (NEET) post employed by the LAB and seconded to Skills and Employment Hub</w:t>
      </w:r>
    </w:p>
    <w:p w:rsidR="00F573DB" w:rsidRDefault="00F573DB" w:rsidP="00F573DB">
      <w:pPr>
        <w:numPr>
          <w:ilvl w:val="0"/>
          <w:numId w:val="6"/>
        </w:numPr>
        <w:spacing w:after="160" w:line="259" w:lineRule="auto"/>
        <w:contextualSpacing/>
        <w:jc w:val="both"/>
        <w:rPr>
          <w:rFonts w:eastAsiaTheme="minorHAnsi"/>
          <w:color w:val="auto"/>
          <w:sz w:val="22"/>
          <w:szCs w:val="22"/>
          <w:lang w:eastAsia="en-US"/>
        </w:rPr>
      </w:pPr>
      <w:r w:rsidRPr="00F573DB">
        <w:rPr>
          <w:rFonts w:eastAsiaTheme="minorHAnsi"/>
          <w:color w:val="auto"/>
          <w:sz w:val="22"/>
          <w:szCs w:val="22"/>
          <w:lang w:eastAsia="en-US"/>
        </w:rPr>
        <w:t>Capacity Building resource</w:t>
      </w:r>
    </w:p>
    <w:p w:rsidR="00156BA6" w:rsidRPr="00F573DB" w:rsidRDefault="00156BA6" w:rsidP="00156BA6">
      <w:pPr>
        <w:spacing w:after="160" w:line="259" w:lineRule="auto"/>
        <w:contextualSpacing/>
        <w:jc w:val="both"/>
        <w:rPr>
          <w:rFonts w:eastAsiaTheme="minorHAnsi"/>
          <w:color w:val="auto"/>
          <w:sz w:val="22"/>
          <w:szCs w:val="22"/>
          <w:lang w:eastAsia="en-US"/>
        </w:rPr>
      </w:pPr>
    </w:p>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color w:val="auto"/>
          <w:sz w:val="22"/>
          <w:szCs w:val="22"/>
          <w:lang w:eastAsia="en-US"/>
        </w:rPr>
        <w:t>Joint discussions have influenced the priorities for the Capacity Building Resource within the plan which were approved by the Skills and Employment Board in July 2016. LESEP has taken responsibility for working with the Skills and Employment Hub to deliver, monitor and evaluate these elements. This will be fully reviewed and actions and spend aligned to other initiatives across Lancashire.</w:t>
      </w:r>
    </w:p>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color w:val="auto"/>
          <w:sz w:val="22"/>
          <w:szCs w:val="22"/>
          <w:lang w:eastAsia="en-US"/>
        </w:rPr>
        <w:t xml:space="preserve">A key area of development is the design of the LESEP Website. This will initially cover the 'Moving On' Project and will be extended to incorporate additional projects as these come on Board. LESEP has taken responsibility for this and other marketing and communication elements. </w:t>
      </w:r>
    </w:p>
    <w:p w:rsidR="00F573DB" w:rsidRPr="00F573DB" w:rsidRDefault="00F573DB" w:rsidP="00F573DB">
      <w:pPr>
        <w:tabs>
          <w:tab w:val="left" w:pos="1134"/>
        </w:tabs>
        <w:spacing w:after="160" w:line="259" w:lineRule="auto"/>
        <w:ind w:left="0" w:firstLine="0"/>
        <w:jc w:val="both"/>
        <w:rPr>
          <w:rFonts w:eastAsiaTheme="minorHAnsi"/>
          <w:b/>
          <w:color w:val="auto"/>
          <w:sz w:val="22"/>
          <w:szCs w:val="22"/>
          <w:lang w:eastAsia="en-US"/>
        </w:rPr>
      </w:pPr>
    </w:p>
    <w:p w:rsidR="00F573DB" w:rsidRPr="00F573DB" w:rsidRDefault="00F573DB" w:rsidP="00F573DB">
      <w:pPr>
        <w:tabs>
          <w:tab w:val="left" w:pos="851"/>
        </w:tabs>
        <w:spacing w:after="160" w:line="259" w:lineRule="auto"/>
        <w:ind w:left="0" w:firstLine="0"/>
        <w:jc w:val="both"/>
        <w:rPr>
          <w:rFonts w:eastAsiaTheme="minorHAnsi"/>
          <w:b/>
          <w:color w:val="auto"/>
          <w:sz w:val="22"/>
          <w:szCs w:val="22"/>
          <w:lang w:eastAsia="en-US"/>
        </w:rPr>
      </w:pPr>
      <w:r w:rsidRPr="00F573DB">
        <w:rPr>
          <w:rFonts w:eastAsiaTheme="minorHAnsi"/>
          <w:b/>
          <w:color w:val="auto"/>
          <w:sz w:val="22"/>
          <w:szCs w:val="22"/>
          <w:lang w:eastAsia="en-US"/>
        </w:rPr>
        <w:t xml:space="preserve">6. </w:t>
      </w:r>
      <w:r w:rsidRPr="00F573DB">
        <w:rPr>
          <w:rFonts w:eastAsiaTheme="minorHAnsi"/>
          <w:b/>
          <w:color w:val="auto"/>
          <w:sz w:val="22"/>
          <w:szCs w:val="22"/>
          <w:lang w:eastAsia="en-US"/>
        </w:rPr>
        <w:tab/>
        <w:t xml:space="preserve">Partnership Working </w:t>
      </w:r>
    </w:p>
    <w:p w:rsidR="00F573DB" w:rsidRPr="00F573DB" w:rsidRDefault="00F573DB" w:rsidP="00F573DB">
      <w:pPr>
        <w:numPr>
          <w:ilvl w:val="0"/>
          <w:numId w:val="9"/>
        </w:numPr>
        <w:spacing w:after="160" w:line="259" w:lineRule="auto"/>
        <w:contextualSpacing/>
        <w:jc w:val="both"/>
        <w:rPr>
          <w:rFonts w:eastAsiaTheme="minorHAnsi"/>
          <w:color w:val="auto"/>
          <w:sz w:val="22"/>
          <w:szCs w:val="22"/>
          <w:lang w:eastAsia="en-US"/>
        </w:rPr>
      </w:pPr>
      <w:r w:rsidRPr="00F573DB">
        <w:rPr>
          <w:rFonts w:eastAsiaTheme="minorHAnsi"/>
          <w:color w:val="auto"/>
          <w:sz w:val="22"/>
          <w:szCs w:val="22"/>
          <w:lang w:eastAsia="en-US"/>
        </w:rPr>
        <w:t>Youth Steering Group</w:t>
      </w:r>
    </w:p>
    <w:p w:rsidR="00F573DB" w:rsidRPr="00F573DB" w:rsidRDefault="00F573DB" w:rsidP="00F573DB">
      <w:pPr>
        <w:numPr>
          <w:ilvl w:val="0"/>
          <w:numId w:val="9"/>
        </w:numPr>
        <w:spacing w:after="160" w:line="259" w:lineRule="auto"/>
        <w:contextualSpacing/>
        <w:jc w:val="both"/>
        <w:rPr>
          <w:rFonts w:eastAsiaTheme="minorHAnsi"/>
          <w:color w:val="auto"/>
          <w:sz w:val="22"/>
          <w:szCs w:val="22"/>
          <w:lang w:eastAsia="en-US"/>
        </w:rPr>
      </w:pPr>
      <w:r w:rsidRPr="00F573DB">
        <w:rPr>
          <w:rFonts w:eastAsiaTheme="minorHAnsi"/>
          <w:color w:val="auto"/>
          <w:sz w:val="22"/>
          <w:szCs w:val="22"/>
          <w:lang w:eastAsia="en-US"/>
        </w:rPr>
        <w:t>BBO Invest In Youth links</w:t>
      </w:r>
    </w:p>
    <w:p w:rsidR="00F573DB" w:rsidRPr="00F573DB" w:rsidRDefault="00F573DB" w:rsidP="00F573DB">
      <w:pPr>
        <w:numPr>
          <w:ilvl w:val="0"/>
          <w:numId w:val="9"/>
        </w:numPr>
        <w:spacing w:after="160" w:line="259" w:lineRule="auto"/>
        <w:contextualSpacing/>
        <w:jc w:val="both"/>
        <w:rPr>
          <w:rFonts w:eastAsiaTheme="minorHAnsi"/>
          <w:color w:val="auto"/>
          <w:sz w:val="22"/>
          <w:szCs w:val="22"/>
          <w:lang w:eastAsia="en-US"/>
        </w:rPr>
      </w:pPr>
      <w:r w:rsidRPr="00F573DB">
        <w:rPr>
          <w:rFonts w:eastAsiaTheme="minorHAnsi"/>
          <w:color w:val="auto"/>
          <w:sz w:val="22"/>
          <w:szCs w:val="22"/>
          <w:lang w:eastAsia="en-US"/>
        </w:rPr>
        <w:t xml:space="preserve">District Level Partnerships </w:t>
      </w:r>
    </w:p>
    <w:p w:rsidR="00F573DB" w:rsidRPr="00F573DB" w:rsidRDefault="00F573DB" w:rsidP="00F573DB">
      <w:pPr>
        <w:numPr>
          <w:ilvl w:val="0"/>
          <w:numId w:val="9"/>
        </w:numPr>
        <w:spacing w:after="160" w:line="259" w:lineRule="auto"/>
        <w:contextualSpacing/>
        <w:jc w:val="both"/>
        <w:rPr>
          <w:rFonts w:eastAsiaTheme="minorHAnsi"/>
          <w:color w:val="auto"/>
          <w:sz w:val="22"/>
          <w:szCs w:val="22"/>
          <w:lang w:eastAsia="en-US"/>
        </w:rPr>
      </w:pPr>
      <w:r w:rsidRPr="00F573DB">
        <w:rPr>
          <w:rFonts w:eastAsiaTheme="minorHAnsi"/>
          <w:color w:val="auto"/>
          <w:sz w:val="22"/>
          <w:szCs w:val="22"/>
          <w:lang w:eastAsia="en-US"/>
        </w:rPr>
        <w:t>Local Authority links</w:t>
      </w:r>
    </w:p>
    <w:p w:rsidR="00F573DB" w:rsidRPr="00F573DB" w:rsidRDefault="00F573DB" w:rsidP="00F573DB">
      <w:pPr>
        <w:numPr>
          <w:ilvl w:val="0"/>
          <w:numId w:val="9"/>
        </w:numPr>
        <w:spacing w:after="160" w:line="259" w:lineRule="auto"/>
        <w:contextualSpacing/>
        <w:jc w:val="both"/>
        <w:rPr>
          <w:rFonts w:eastAsiaTheme="minorHAnsi"/>
          <w:color w:val="auto"/>
          <w:sz w:val="22"/>
          <w:szCs w:val="22"/>
          <w:lang w:eastAsia="en-US"/>
        </w:rPr>
      </w:pPr>
      <w:r w:rsidRPr="00F573DB">
        <w:rPr>
          <w:rFonts w:eastAsiaTheme="minorHAnsi"/>
          <w:color w:val="auto"/>
          <w:sz w:val="22"/>
          <w:szCs w:val="22"/>
          <w:lang w:eastAsia="en-US"/>
        </w:rPr>
        <w:t>NEET Operational Group</w:t>
      </w:r>
    </w:p>
    <w:p w:rsidR="00F573DB" w:rsidRPr="00F573DB" w:rsidRDefault="00F573DB" w:rsidP="00F573DB">
      <w:pPr>
        <w:numPr>
          <w:ilvl w:val="0"/>
          <w:numId w:val="9"/>
        </w:numPr>
        <w:spacing w:after="160" w:line="259" w:lineRule="auto"/>
        <w:contextualSpacing/>
        <w:jc w:val="both"/>
        <w:rPr>
          <w:rFonts w:eastAsiaTheme="minorHAnsi"/>
          <w:color w:val="auto"/>
          <w:sz w:val="22"/>
          <w:szCs w:val="22"/>
          <w:lang w:eastAsia="en-US"/>
        </w:rPr>
      </w:pPr>
      <w:r w:rsidRPr="00F573DB">
        <w:rPr>
          <w:rFonts w:eastAsiaTheme="minorHAnsi"/>
          <w:color w:val="auto"/>
          <w:sz w:val="22"/>
          <w:szCs w:val="22"/>
          <w:lang w:eastAsia="en-US"/>
        </w:rPr>
        <w:t xml:space="preserve">Delivery Partner Training sessions </w:t>
      </w:r>
    </w:p>
    <w:p w:rsidR="00F573DB" w:rsidRPr="00F573DB" w:rsidRDefault="00F573DB" w:rsidP="00F573DB">
      <w:pPr>
        <w:numPr>
          <w:ilvl w:val="0"/>
          <w:numId w:val="9"/>
        </w:numPr>
        <w:spacing w:after="160" w:line="259" w:lineRule="auto"/>
        <w:contextualSpacing/>
        <w:jc w:val="both"/>
        <w:rPr>
          <w:rFonts w:eastAsiaTheme="minorHAnsi"/>
          <w:color w:val="auto"/>
          <w:sz w:val="22"/>
          <w:szCs w:val="22"/>
          <w:lang w:eastAsia="en-US"/>
        </w:rPr>
      </w:pPr>
      <w:r w:rsidRPr="00F573DB">
        <w:rPr>
          <w:rFonts w:eastAsiaTheme="minorHAnsi"/>
          <w:color w:val="auto"/>
          <w:sz w:val="22"/>
          <w:szCs w:val="22"/>
          <w:lang w:eastAsia="en-US"/>
        </w:rPr>
        <w:t>1:1 meetings with providers</w:t>
      </w:r>
    </w:p>
    <w:p w:rsidR="00F573DB" w:rsidRPr="00F573DB" w:rsidRDefault="00F573DB" w:rsidP="00F573DB">
      <w:pPr>
        <w:spacing w:after="160" w:line="259" w:lineRule="auto"/>
        <w:ind w:left="720" w:firstLine="0"/>
        <w:contextualSpacing/>
        <w:jc w:val="both"/>
        <w:rPr>
          <w:rFonts w:eastAsiaTheme="minorHAnsi"/>
          <w:b/>
          <w:color w:val="FF0000"/>
          <w:sz w:val="22"/>
          <w:szCs w:val="22"/>
          <w:lang w:eastAsia="en-US"/>
        </w:rPr>
      </w:pPr>
    </w:p>
    <w:p w:rsidR="00F573DB" w:rsidRPr="00F573DB" w:rsidRDefault="00F573DB" w:rsidP="00F573DB">
      <w:pPr>
        <w:spacing w:after="160" w:line="259" w:lineRule="auto"/>
        <w:ind w:left="720" w:firstLine="0"/>
        <w:contextualSpacing/>
        <w:rPr>
          <w:rFonts w:eastAsiaTheme="minorHAnsi"/>
          <w:b/>
          <w:color w:val="FF0000"/>
          <w:sz w:val="22"/>
          <w:szCs w:val="22"/>
          <w:lang w:eastAsia="en-US"/>
        </w:rPr>
      </w:pPr>
    </w:p>
    <w:p w:rsidR="00F573DB" w:rsidRPr="00F573DB" w:rsidRDefault="00F573DB" w:rsidP="00F573DB">
      <w:pPr>
        <w:numPr>
          <w:ilvl w:val="0"/>
          <w:numId w:val="10"/>
        </w:numPr>
        <w:spacing w:after="0" w:line="240" w:lineRule="auto"/>
        <w:ind w:left="851" w:hanging="851"/>
        <w:rPr>
          <w:rFonts w:eastAsiaTheme="minorHAnsi"/>
          <w:b/>
          <w:color w:val="auto"/>
          <w:sz w:val="22"/>
          <w:szCs w:val="22"/>
          <w:lang w:eastAsia="en-US"/>
        </w:rPr>
      </w:pPr>
      <w:r w:rsidRPr="00F573DB">
        <w:rPr>
          <w:rFonts w:eastAsiaTheme="minorHAnsi"/>
          <w:b/>
          <w:color w:val="auto"/>
          <w:sz w:val="22"/>
          <w:szCs w:val="22"/>
          <w:lang w:eastAsia="en-US"/>
        </w:rPr>
        <w:t xml:space="preserve">Areas for Project Performance Improvement </w:t>
      </w:r>
    </w:p>
    <w:p w:rsidR="00F573DB" w:rsidRPr="00F573DB" w:rsidRDefault="00F573DB" w:rsidP="00F573DB">
      <w:pPr>
        <w:spacing w:after="0" w:line="240" w:lineRule="auto"/>
        <w:ind w:left="0" w:firstLine="0"/>
        <w:rPr>
          <w:rFonts w:eastAsiaTheme="minorHAnsi"/>
          <w:b/>
          <w:color w:val="auto"/>
          <w:sz w:val="22"/>
          <w:szCs w:val="22"/>
          <w:lang w:eastAsia="en-US"/>
        </w:rPr>
      </w:pPr>
    </w:p>
    <w:p w:rsidR="00F573DB" w:rsidRPr="00F573DB" w:rsidRDefault="00F573DB" w:rsidP="00F573DB">
      <w:pPr>
        <w:spacing w:after="0" w:line="240" w:lineRule="auto"/>
        <w:ind w:left="0" w:firstLine="0"/>
        <w:rPr>
          <w:rFonts w:eastAsiaTheme="minorHAnsi"/>
          <w:b/>
          <w:color w:val="auto"/>
          <w:sz w:val="22"/>
          <w:szCs w:val="22"/>
          <w:lang w:eastAsia="en-US"/>
        </w:rPr>
      </w:pPr>
    </w:p>
    <w:tbl>
      <w:tblPr>
        <w:tblStyle w:val="TableGrid"/>
        <w:tblpPr w:leftFromText="180" w:rightFromText="180" w:vertAnchor="text" w:horzAnchor="margin" w:tblpY="87"/>
        <w:tblW w:w="9747" w:type="dxa"/>
        <w:tblLayout w:type="fixed"/>
        <w:tblLook w:val="04A0" w:firstRow="1" w:lastRow="0" w:firstColumn="1" w:lastColumn="0" w:noHBand="0" w:noVBand="1"/>
      </w:tblPr>
      <w:tblGrid>
        <w:gridCol w:w="675"/>
        <w:gridCol w:w="5529"/>
        <w:gridCol w:w="3543"/>
      </w:tblGrid>
      <w:tr w:rsidR="00F573DB" w:rsidRPr="00F573DB" w:rsidTr="00283CC1">
        <w:tc>
          <w:tcPr>
            <w:tcW w:w="675" w:type="dxa"/>
            <w:shd w:val="clear" w:color="auto" w:fill="BDD6EE" w:themeFill="accent1" w:themeFillTint="66"/>
          </w:tcPr>
          <w:p w:rsidR="00F573DB" w:rsidRPr="00F573DB" w:rsidRDefault="00F573DB" w:rsidP="00F573DB">
            <w:pPr>
              <w:spacing w:after="0" w:line="240" w:lineRule="auto"/>
              <w:ind w:left="0" w:firstLine="0"/>
              <w:rPr>
                <w:rFonts w:eastAsiaTheme="minorHAnsi"/>
                <w:b/>
                <w:color w:val="auto"/>
                <w:sz w:val="22"/>
                <w:szCs w:val="22"/>
                <w:lang w:eastAsia="en-US"/>
              </w:rPr>
            </w:pPr>
            <w:r w:rsidRPr="00F573DB">
              <w:rPr>
                <w:rFonts w:eastAsiaTheme="minorHAnsi"/>
                <w:b/>
                <w:color w:val="auto"/>
                <w:sz w:val="22"/>
                <w:szCs w:val="22"/>
                <w:lang w:eastAsia="en-US"/>
              </w:rPr>
              <w:t>AFI</w:t>
            </w:r>
          </w:p>
        </w:tc>
        <w:tc>
          <w:tcPr>
            <w:tcW w:w="5529" w:type="dxa"/>
            <w:shd w:val="clear" w:color="auto" w:fill="BDD6EE" w:themeFill="accent1" w:themeFillTint="66"/>
          </w:tcPr>
          <w:p w:rsidR="00F573DB" w:rsidRPr="00F573DB" w:rsidRDefault="00F573DB" w:rsidP="00F573DB">
            <w:pPr>
              <w:spacing w:after="0" w:line="240" w:lineRule="auto"/>
              <w:ind w:left="0" w:firstLine="0"/>
              <w:rPr>
                <w:rFonts w:eastAsiaTheme="minorHAnsi"/>
                <w:b/>
                <w:color w:val="auto"/>
                <w:sz w:val="22"/>
                <w:szCs w:val="22"/>
                <w:lang w:eastAsia="en-US"/>
              </w:rPr>
            </w:pPr>
            <w:r w:rsidRPr="00F573DB">
              <w:rPr>
                <w:rFonts w:eastAsiaTheme="minorHAnsi"/>
                <w:b/>
                <w:color w:val="auto"/>
                <w:sz w:val="22"/>
                <w:szCs w:val="22"/>
                <w:lang w:eastAsia="en-US"/>
              </w:rPr>
              <w:t>Action</w:t>
            </w:r>
          </w:p>
        </w:tc>
        <w:tc>
          <w:tcPr>
            <w:tcW w:w="3543" w:type="dxa"/>
            <w:shd w:val="clear" w:color="auto" w:fill="BDD6EE" w:themeFill="accent1" w:themeFillTint="66"/>
          </w:tcPr>
          <w:p w:rsidR="00F573DB" w:rsidRPr="00F573DB" w:rsidRDefault="00F573DB" w:rsidP="00F573DB">
            <w:pPr>
              <w:spacing w:after="0" w:line="240" w:lineRule="auto"/>
              <w:ind w:left="0" w:firstLine="0"/>
              <w:rPr>
                <w:rFonts w:eastAsiaTheme="minorHAnsi"/>
                <w:b/>
                <w:color w:val="auto"/>
                <w:sz w:val="22"/>
                <w:szCs w:val="22"/>
                <w:lang w:eastAsia="en-US"/>
              </w:rPr>
            </w:pPr>
            <w:r w:rsidRPr="00F573DB">
              <w:rPr>
                <w:rFonts w:eastAsiaTheme="minorHAnsi"/>
                <w:b/>
                <w:color w:val="auto"/>
                <w:sz w:val="22"/>
                <w:szCs w:val="22"/>
                <w:lang w:eastAsia="en-US"/>
              </w:rPr>
              <w:t>Measure</w:t>
            </w:r>
          </w:p>
          <w:p w:rsidR="00F573DB" w:rsidRPr="00F573DB" w:rsidRDefault="00F573DB" w:rsidP="00F573DB">
            <w:pPr>
              <w:spacing w:after="0" w:line="240" w:lineRule="auto"/>
              <w:ind w:left="0" w:firstLine="0"/>
              <w:rPr>
                <w:rFonts w:eastAsiaTheme="minorHAnsi"/>
                <w:b/>
                <w:color w:val="auto"/>
                <w:sz w:val="22"/>
                <w:szCs w:val="22"/>
                <w:lang w:eastAsia="en-US"/>
              </w:rPr>
            </w:pPr>
          </w:p>
        </w:tc>
      </w:tr>
      <w:tr w:rsidR="00F573DB" w:rsidRPr="00F573DB" w:rsidTr="00283CC1">
        <w:tc>
          <w:tcPr>
            <w:tcW w:w="675" w:type="dxa"/>
          </w:tcPr>
          <w:p w:rsidR="00F573DB" w:rsidRPr="00F573DB" w:rsidRDefault="00F573DB" w:rsidP="00F573DB">
            <w:pPr>
              <w:spacing w:after="0" w:line="240" w:lineRule="auto"/>
              <w:ind w:left="0" w:firstLine="0"/>
              <w:rPr>
                <w:rFonts w:eastAsiaTheme="minorHAnsi"/>
                <w:b/>
                <w:color w:val="auto"/>
                <w:sz w:val="22"/>
                <w:szCs w:val="22"/>
                <w:lang w:eastAsia="en-US"/>
              </w:rPr>
            </w:pPr>
            <w:r w:rsidRPr="00F573DB">
              <w:rPr>
                <w:rFonts w:eastAsiaTheme="minorHAnsi"/>
                <w:b/>
                <w:color w:val="auto"/>
                <w:sz w:val="22"/>
                <w:szCs w:val="22"/>
                <w:lang w:eastAsia="en-US"/>
              </w:rPr>
              <w:t>1.</w:t>
            </w:r>
          </w:p>
          <w:p w:rsidR="00F573DB" w:rsidRPr="00F573DB" w:rsidRDefault="00F573DB" w:rsidP="00F573DB">
            <w:pPr>
              <w:spacing w:after="0" w:line="240" w:lineRule="auto"/>
              <w:ind w:left="0" w:firstLine="0"/>
              <w:rPr>
                <w:rFonts w:eastAsiaTheme="minorHAnsi"/>
                <w:b/>
                <w:color w:val="auto"/>
                <w:sz w:val="22"/>
                <w:szCs w:val="22"/>
                <w:lang w:eastAsia="en-US"/>
              </w:rPr>
            </w:pPr>
          </w:p>
        </w:tc>
        <w:tc>
          <w:tcPr>
            <w:tcW w:w="5529"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Improve period of lag between activity date and claim</w:t>
            </w:r>
          </w:p>
        </w:tc>
        <w:tc>
          <w:tcPr>
            <w:tcW w:w="3543"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 xml:space="preserve">4 month reduces to 2 months over contract period </w:t>
            </w:r>
          </w:p>
        </w:tc>
      </w:tr>
      <w:tr w:rsidR="00F573DB" w:rsidRPr="00F573DB" w:rsidTr="00283CC1">
        <w:tc>
          <w:tcPr>
            <w:tcW w:w="675" w:type="dxa"/>
          </w:tcPr>
          <w:p w:rsidR="00F573DB" w:rsidRPr="00F573DB" w:rsidRDefault="00F573DB" w:rsidP="00F573DB">
            <w:pPr>
              <w:spacing w:after="0" w:line="240" w:lineRule="auto"/>
              <w:ind w:left="0" w:firstLine="0"/>
              <w:rPr>
                <w:rFonts w:eastAsiaTheme="minorHAnsi"/>
                <w:b/>
                <w:color w:val="auto"/>
                <w:sz w:val="22"/>
                <w:szCs w:val="22"/>
                <w:lang w:eastAsia="en-US"/>
              </w:rPr>
            </w:pPr>
            <w:r w:rsidRPr="00F573DB">
              <w:rPr>
                <w:rFonts w:eastAsiaTheme="minorHAnsi"/>
                <w:b/>
                <w:color w:val="auto"/>
                <w:sz w:val="22"/>
                <w:szCs w:val="22"/>
                <w:lang w:eastAsia="en-US"/>
              </w:rPr>
              <w:t>2.</w:t>
            </w:r>
          </w:p>
        </w:tc>
        <w:tc>
          <w:tcPr>
            <w:tcW w:w="5529"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 xml:space="preserve">Increase volume to value ratio </w:t>
            </w:r>
          </w:p>
        </w:tc>
        <w:tc>
          <w:tcPr>
            <w:tcW w:w="3543"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  increase to be agreed</w:t>
            </w:r>
          </w:p>
        </w:tc>
      </w:tr>
      <w:tr w:rsidR="00F573DB" w:rsidRPr="00F573DB" w:rsidTr="00283CC1">
        <w:tc>
          <w:tcPr>
            <w:tcW w:w="675" w:type="dxa"/>
          </w:tcPr>
          <w:p w:rsidR="00F573DB" w:rsidRPr="00F573DB" w:rsidRDefault="00F573DB" w:rsidP="00F573DB">
            <w:pPr>
              <w:spacing w:after="0" w:line="240" w:lineRule="auto"/>
              <w:ind w:left="0" w:firstLine="0"/>
              <w:rPr>
                <w:rFonts w:eastAsiaTheme="minorHAnsi"/>
                <w:b/>
                <w:color w:val="auto"/>
                <w:sz w:val="22"/>
                <w:szCs w:val="22"/>
                <w:lang w:eastAsia="en-US"/>
              </w:rPr>
            </w:pPr>
            <w:r w:rsidRPr="00F573DB">
              <w:rPr>
                <w:rFonts w:eastAsiaTheme="minorHAnsi"/>
                <w:b/>
                <w:color w:val="auto"/>
                <w:sz w:val="22"/>
                <w:szCs w:val="22"/>
                <w:lang w:eastAsia="en-US"/>
              </w:rPr>
              <w:t>3.</w:t>
            </w:r>
          </w:p>
        </w:tc>
        <w:tc>
          <w:tcPr>
            <w:tcW w:w="5529"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 xml:space="preserve">Increase overall performance </w:t>
            </w:r>
          </w:p>
        </w:tc>
        <w:tc>
          <w:tcPr>
            <w:tcW w:w="3543"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 xml:space="preserve">Volume and value increase </w:t>
            </w:r>
          </w:p>
        </w:tc>
      </w:tr>
      <w:tr w:rsidR="00F573DB" w:rsidRPr="00F573DB" w:rsidTr="00283CC1">
        <w:trPr>
          <w:trHeight w:val="273"/>
        </w:trPr>
        <w:tc>
          <w:tcPr>
            <w:tcW w:w="675" w:type="dxa"/>
          </w:tcPr>
          <w:p w:rsidR="00F573DB" w:rsidRPr="00F573DB" w:rsidRDefault="00F573DB" w:rsidP="00F573DB">
            <w:pPr>
              <w:spacing w:after="0" w:line="240" w:lineRule="auto"/>
              <w:ind w:left="0" w:firstLine="0"/>
              <w:rPr>
                <w:rFonts w:eastAsiaTheme="minorHAnsi"/>
                <w:b/>
                <w:color w:val="auto"/>
                <w:sz w:val="22"/>
                <w:szCs w:val="22"/>
                <w:lang w:eastAsia="en-US"/>
              </w:rPr>
            </w:pPr>
            <w:r w:rsidRPr="00F573DB">
              <w:rPr>
                <w:rFonts w:eastAsiaTheme="minorHAnsi"/>
                <w:b/>
                <w:color w:val="auto"/>
                <w:sz w:val="22"/>
                <w:szCs w:val="22"/>
                <w:lang w:eastAsia="en-US"/>
              </w:rPr>
              <w:t>4.</w:t>
            </w:r>
          </w:p>
        </w:tc>
        <w:tc>
          <w:tcPr>
            <w:tcW w:w="5529"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 xml:space="preserve">Identify pipeline activity not yet with LAB </w:t>
            </w:r>
          </w:p>
        </w:tc>
        <w:tc>
          <w:tcPr>
            <w:tcW w:w="3543"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Report from partners</w:t>
            </w:r>
          </w:p>
        </w:tc>
      </w:tr>
      <w:tr w:rsidR="00F573DB" w:rsidRPr="00F573DB" w:rsidTr="00283CC1">
        <w:tc>
          <w:tcPr>
            <w:tcW w:w="675" w:type="dxa"/>
          </w:tcPr>
          <w:p w:rsidR="00F573DB" w:rsidRPr="00F573DB" w:rsidRDefault="00F573DB" w:rsidP="00F573DB">
            <w:pPr>
              <w:spacing w:after="0" w:line="240" w:lineRule="auto"/>
              <w:ind w:left="0" w:firstLine="0"/>
              <w:rPr>
                <w:rFonts w:eastAsiaTheme="minorHAnsi"/>
                <w:b/>
                <w:color w:val="auto"/>
                <w:sz w:val="22"/>
                <w:szCs w:val="22"/>
                <w:lang w:eastAsia="en-US"/>
              </w:rPr>
            </w:pPr>
            <w:r w:rsidRPr="00F573DB">
              <w:rPr>
                <w:rFonts w:eastAsiaTheme="minorHAnsi"/>
                <w:b/>
                <w:color w:val="auto"/>
                <w:sz w:val="22"/>
                <w:szCs w:val="22"/>
                <w:lang w:eastAsia="en-US"/>
              </w:rPr>
              <w:t>5.</w:t>
            </w:r>
          </w:p>
        </w:tc>
        <w:tc>
          <w:tcPr>
            <w:tcW w:w="5529"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Analyse and report on split between age groups</w:t>
            </w:r>
          </w:p>
        </w:tc>
        <w:tc>
          <w:tcPr>
            <w:tcW w:w="3543"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 xml:space="preserve">30/70 split </w:t>
            </w:r>
          </w:p>
        </w:tc>
      </w:tr>
      <w:tr w:rsidR="00F573DB" w:rsidRPr="00F573DB" w:rsidTr="00283CC1">
        <w:trPr>
          <w:trHeight w:val="437"/>
        </w:trPr>
        <w:tc>
          <w:tcPr>
            <w:tcW w:w="675" w:type="dxa"/>
          </w:tcPr>
          <w:p w:rsidR="00F573DB" w:rsidRPr="00F573DB" w:rsidRDefault="00F573DB" w:rsidP="00F573DB">
            <w:pPr>
              <w:spacing w:after="0" w:line="240" w:lineRule="auto"/>
              <w:ind w:left="0" w:firstLine="0"/>
              <w:rPr>
                <w:rFonts w:eastAsiaTheme="minorHAnsi"/>
                <w:b/>
                <w:color w:val="auto"/>
                <w:sz w:val="22"/>
                <w:szCs w:val="22"/>
                <w:lang w:eastAsia="en-US"/>
              </w:rPr>
            </w:pPr>
            <w:r w:rsidRPr="00F573DB">
              <w:rPr>
                <w:rFonts w:eastAsiaTheme="minorHAnsi"/>
                <w:b/>
                <w:color w:val="auto"/>
                <w:sz w:val="22"/>
                <w:szCs w:val="22"/>
                <w:lang w:eastAsia="en-US"/>
              </w:rPr>
              <w:t>6.</w:t>
            </w:r>
          </w:p>
        </w:tc>
        <w:tc>
          <w:tcPr>
            <w:tcW w:w="5529"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 xml:space="preserve">Analyse and report on all achievement against contractual KPI’s </w:t>
            </w:r>
          </w:p>
        </w:tc>
        <w:tc>
          <w:tcPr>
            <w:tcW w:w="3543" w:type="dxa"/>
          </w:tcPr>
          <w:p w:rsidR="00F573DB" w:rsidRPr="00F573DB" w:rsidRDefault="00F573DB" w:rsidP="00F573DB">
            <w:pPr>
              <w:spacing w:after="0" w:line="240" w:lineRule="auto"/>
              <w:ind w:left="0" w:firstLine="0"/>
              <w:rPr>
                <w:rFonts w:eastAsiaTheme="minorHAnsi"/>
                <w:color w:val="auto"/>
                <w:sz w:val="22"/>
                <w:szCs w:val="22"/>
                <w:lang w:eastAsia="en-US"/>
              </w:rPr>
            </w:pPr>
            <w:r w:rsidRPr="00F573DB">
              <w:rPr>
                <w:rFonts w:eastAsiaTheme="minorHAnsi"/>
                <w:color w:val="auto"/>
                <w:sz w:val="22"/>
                <w:szCs w:val="22"/>
                <w:lang w:eastAsia="en-US"/>
              </w:rPr>
              <w:t>%age against contract</w:t>
            </w:r>
          </w:p>
        </w:tc>
      </w:tr>
    </w:tbl>
    <w:p w:rsidR="00F573DB" w:rsidRPr="00F573DB" w:rsidRDefault="00F573DB" w:rsidP="00F573DB">
      <w:pPr>
        <w:spacing w:after="0" w:line="240" w:lineRule="auto"/>
        <w:ind w:left="0" w:firstLine="0"/>
        <w:rPr>
          <w:rFonts w:eastAsiaTheme="minorHAnsi"/>
          <w:b/>
          <w:color w:val="auto"/>
          <w:sz w:val="22"/>
          <w:szCs w:val="22"/>
          <w:lang w:eastAsia="en-US"/>
        </w:rPr>
      </w:pPr>
    </w:p>
    <w:p w:rsidR="00F573DB" w:rsidRPr="00F573DB" w:rsidRDefault="00F573DB" w:rsidP="00F573DB">
      <w:pPr>
        <w:spacing w:after="160" w:line="259" w:lineRule="auto"/>
        <w:ind w:left="0" w:firstLine="0"/>
        <w:jc w:val="both"/>
        <w:rPr>
          <w:rFonts w:eastAsiaTheme="minorHAnsi"/>
          <w:b/>
          <w:color w:val="auto"/>
          <w:sz w:val="22"/>
          <w:szCs w:val="22"/>
          <w:lang w:eastAsia="en-US"/>
        </w:rPr>
      </w:pPr>
    </w:p>
    <w:p w:rsidR="00F573DB" w:rsidRPr="00F573DB" w:rsidRDefault="00F573DB" w:rsidP="00F573DB">
      <w:pPr>
        <w:spacing w:after="160" w:line="259" w:lineRule="auto"/>
        <w:ind w:left="0" w:firstLine="0"/>
        <w:jc w:val="both"/>
        <w:rPr>
          <w:rFonts w:eastAsiaTheme="minorHAnsi"/>
          <w:b/>
          <w:color w:val="auto"/>
          <w:sz w:val="22"/>
          <w:szCs w:val="22"/>
          <w:lang w:eastAsia="en-US"/>
        </w:rPr>
      </w:pPr>
    </w:p>
    <w:p w:rsidR="00F573DB" w:rsidRPr="00F573DB" w:rsidRDefault="00F573DB" w:rsidP="00F573DB">
      <w:pPr>
        <w:spacing w:after="160" w:line="259" w:lineRule="auto"/>
        <w:ind w:left="0" w:firstLine="0"/>
        <w:jc w:val="both"/>
        <w:rPr>
          <w:rFonts w:eastAsiaTheme="minorHAnsi"/>
          <w:b/>
          <w:color w:val="auto"/>
          <w:sz w:val="22"/>
          <w:szCs w:val="22"/>
          <w:lang w:eastAsia="en-US"/>
        </w:rPr>
      </w:pPr>
    </w:p>
    <w:p w:rsidR="00F573DB" w:rsidRPr="00F573DB" w:rsidRDefault="00F573DB" w:rsidP="00F573DB">
      <w:pPr>
        <w:spacing w:after="160" w:line="259" w:lineRule="auto"/>
        <w:ind w:left="0" w:firstLine="0"/>
        <w:jc w:val="both"/>
        <w:rPr>
          <w:rFonts w:eastAsiaTheme="minorHAnsi"/>
          <w:b/>
          <w:color w:val="auto"/>
          <w:sz w:val="22"/>
          <w:szCs w:val="22"/>
          <w:lang w:eastAsia="en-US"/>
        </w:rPr>
      </w:pPr>
      <w:r w:rsidRPr="00F573DB">
        <w:rPr>
          <w:rFonts w:eastAsiaTheme="minorHAnsi"/>
          <w:b/>
          <w:color w:val="auto"/>
          <w:sz w:val="22"/>
          <w:szCs w:val="22"/>
          <w:lang w:eastAsia="en-US"/>
        </w:rPr>
        <w:t>8.</w:t>
      </w:r>
      <w:r w:rsidRPr="00F573DB">
        <w:rPr>
          <w:rFonts w:eastAsiaTheme="minorHAnsi"/>
          <w:b/>
          <w:color w:val="auto"/>
          <w:sz w:val="22"/>
          <w:szCs w:val="22"/>
          <w:lang w:eastAsia="en-US"/>
        </w:rPr>
        <w:tab/>
        <w:t>Conclusion</w:t>
      </w:r>
    </w:p>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color w:val="auto"/>
          <w:sz w:val="22"/>
          <w:szCs w:val="22"/>
          <w:lang w:eastAsia="en-US"/>
        </w:rPr>
        <w:t>The project is performing well in terms of delivery across Lancashire with a range of partners delivering predominantly to fully NEET 16-18 year olds and offering a range of models which lead to successful outcomes for participants.</w:t>
      </w:r>
    </w:p>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color w:val="auto"/>
          <w:sz w:val="22"/>
          <w:szCs w:val="22"/>
          <w:lang w:eastAsia="en-US"/>
        </w:rPr>
        <w:t>There is an issue around the level of claims against profile of both volume and value.  Contextual information would indicate that this is not due to actual under delivery of eligible activity, but is caused by the delay between delivery on the ground and associated data inclusion in the LAB ILR. This is predominantly due to difficulties around the timely collection and collation of the SFA evidence requirements in line with ESF audit requirements, and the complexity of the project payment model.</w:t>
      </w:r>
    </w:p>
    <w:p w:rsidR="00F573DB" w:rsidRPr="00F573DB" w:rsidRDefault="00F573DB" w:rsidP="00F573DB">
      <w:pPr>
        <w:spacing w:after="160" w:line="259" w:lineRule="auto"/>
        <w:ind w:left="0" w:firstLine="0"/>
        <w:jc w:val="both"/>
        <w:rPr>
          <w:rFonts w:eastAsiaTheme="minorHAnsi"/>
          <w:color w:val="auto"/>
          <w:sz w:val="22"/>
          <w:szCs w:val="22"/>
          <w:lang w:eastAsia="en-US"/>
        </w:rPr>
      </w:pPr>
    </w:p>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b/>
          <w:color w:val="auto"/>
          <w:sz w:val="22"/>
          <w:szCs w:val="22"/>
          <w:lang w:eastAsia="en-US"/>
        </w:rPr>
        <w:t xml:space="preserve">9. </w:t>
      </w:r>
      <w:r w:rsidRPr="00F573DB">
        <w:rPr>
          <w:rFonts w:eastAsiaTheme="minorHAnsi"/>
          <w:b/>
          <w:color w:val="auto"/>
          <w:sz w:val="22"/>
          <w:szCs w:val="22"/>
          <w:lang w:eastAsia="en-US"/>
        </w:rPr>
        <w:tab/>
        <w:t>Recommendation</w:t>
      </w:r>
    </w:p>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color w:val="auto"/>
          <w:sz w:val="22"/>
          <w:szCs w:val="22"/>
          <w:lang w:eastAsia="en-US"/>
        </w:rPr>
        <w:t>That the Board considers and notes this report, and agrees the content of the two plans:</w:t>
      </w:r>
    </w:p>
    <w:p w:rsidR="00F573DB" w:rsidRPr="00F573DB" w:rsidRDefault="00F573DB" w:rsidP="00F573DB">
      <w:pPr>
        <w:numPr>
          <w:ilvl w:val="0"/>
          <w:numId w:val="4"/>
        </w:numPr>
        <w:spacing w:after="160" w:line="259" w:lineRule="auto"/>
        <w:contextualSpacing/>
        <w:jc w:val="both"/>
        <w:rPr>
          <w:rFonts w:eastAsiaTheme="minorHAnsi"/>
          <w:color w:val="auto"/>
          <w:sz w:val="22"/>
          <w:szCs w:val="22"/>
          <w:lang w:eastAsia="en-US"/>
        </w:rPr>
      </w:pPr>
      <w:r w:rsidRPr="00F573DB">
        <w:rPr>
          <w:rFonts w:eastAsiaTheme="minorHAnsi"/>
          <w:color w:val="auto"/>
          <w:sz w:val="22"/>
          <w:szCs w:val="22"/>
          <w:lang w:eastAsia="en-US"/>
        </w:rPr>
        <w:t xml:space="preserve">Claims Improvement </w:t>
      </w:r>
    </w:p>
    <w:p w:rsidR="00F573DB" w:rsidRDefault="00F573DB" w:rsidP="00F573DB">
      <w:pPr>
        <w:numPr>
          <w:ilvl w:val="0"/>
          <w:numId w:val="4"/>
        </w:numPr>
        <w:spacing w:after="160" w:line="259" w:lineRule="auto"/>
        <w:contextualSpacing/>
        <w:jc w:val="both"/>
        <w:rPr>
          <w:rFonts w:eastAsiaTheme="minorHAnsi"/>
          <w:color w:val="auto"/>
          <w:sz w:val="22"/>
          <w:szCs w:val="22"/>
          <w:lang w:eastAsia="en-US"/>
        </w:rPr>
      </w:pPr>
      <w:r w:rsidRPr="00F573DB">
        <w:rPr>
          <w:rFonts w:eastAsiaTheme="minorHAnsi"/>
          <w:color w:val="auto"/>
          <w:sz w:val="22"/>
          <w:szCs w:val="22"/>
          <w:lang w:eastAsia="en-US"/>
        </w:rPr>
        <w:t xml:space="preserve">Areas for Improvement </w:t>
      </w:r>
    </w:p>
    <w:p w:rsidR="00DF01A0" w:rsidRPr="00F573DB" w:rsidRDefault="00DF01A0" w:rsidP="00DF01A0">
      <w:pPr>
        <w:spacing w:after="160" w:line="259" w:lineRule="auto"/>
        <w:ind w:left="720" w:firstLine="0"/>
        <w:contextualSpacing/>
        <w:jc w:val="both"/>
        <w:rPr>
          <w:rFonts w:eastAsiaTheme="minorHAnsi"/>
          <w:color w:val="auto"/>
          <w:sz w:val="22"/>
          <w:szCs w:val="22"/>
          <w:lang w:eastAsia="en-US"/>
        </w:rPr>
      </w:pPr>
    </w:p>
    <w:p w:rsidR="00F573DB" w:rsidRPr="00F573DB" w:rsidRDefault="00F573DB" w:rsidP="00F573DB">
      <w:pPr>
        <w:spacing w:after="160" w:line="259" w:lineRule="auto"/>
        <w:ind w:left="0" w:firstLine="0"/>
        <w:jc w:val="both"/>
        <w:rPr>
          <w:rFonts w:eastAsiaTheme="minorHAnsi"/>
          <w:color w:val="auto"/>
          <w:sz w:val="22"/>
          <w:szCs w:val="22"/>
          <w:lang w:eastAsia="en-US"/>
        </w:rPr>
      </w:pPr>
      <w:r w:rsidRPr="00F573DB">
        <w:rPr>
          <w:rFonts w:eastAsiaTheme="minorHAnsi"/>
          <w:color w:val="auto"/>
          <w:sz w:val="22"/>
          <w:szCs w:val="22"/>
          <w:lang w:eastAsia="en-US"/>
        </w:rPr>
        <w:t>That the Board notes specifically our intention to provide an interim report around PMP Impact analysis.  This will be in line with the clarity around PMP obtained from the SFA, and will provide an Impact Analysis of the likely outturn scenarios.</w:t>
      </w:r>
    </w:p>
    <w:p w:rsidR="00386D34" w:rsidRDefault="005F7827">
      <w:bookmarkStart w:id="0" w:name="_GoBack"/>
      <w:bookmarkEnd w:id="0"/>
    </w:p>
    <w:sectPr w:rsidR="00386D3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42748E8"/>
    <w:multiLevelType w:val="hybridMultilevel"/>
    <w:tmpl w:val="6720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33352E2F"/>
    <w:multiLevelType w:val="hybridMultilevel"/>
    <w:tmpl w:val="19E8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55703"/>
    <w:multiLevelType w:val="multilevel"/>
    <w:tmpl w:val="AD089F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6A034D3D"/>
    <w:multiLevelType w:val="hybridMultilevel"/>
    <w:tmpl w:val="21E23E6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A75545"/>
    <w:multiLevelType w:val="hybridMultilevel"/>
    <w:tmpl w:val="F158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215F9B"/>
    <w:multiLevelType w:val="hybridMultilevel"/>
    <w:tmpl w:val="351C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C77D47"/>
    <w:multiLevelType w:val="multilevel"/>
    <w:tmpl w:val="9290174E"/>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5"/>
  </w:num>
  <w:num w:numId="4">
    <w:abstractNumId w:val="1"/>
  </w:num>
  <w:num w:numId="5">
    <w:abstractNumId w:val="8"/>
  </w:num>
  <w:num w:numId="6">
    <w:abstractNumId w:val="3"/>
  </w:num>
  <w:num w:numId="7">
    <w:abstractNumId w:val="4"/>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4697"/>
    <w:rsid w:val="000D2752"/>
    <w:rsid w:val="00113335"/>
    <w:rsid w:val="001448E4"/>
    <w:rsid w:val="00145322"/>
    <w:rsid w:val="00156BA6"/>
    <w:rsid w:val="001B0058"/>
    <w:rsid w:val="001F5AEF"/>
    <w:rsid w:val="00284E9F"/>
    <w:rsid w:val="002B3CC5"/>
    <w:rsid w:val="002B49F2"/>
    <w:rsid w:val="002E69BD"/>
    <w:rsid w:val="00305E85"/>
    <w:rsid w:val="0035233C"/>
    <w:rsid w:val="003B18C2"/>
    <w:rsid w:val="004176B4"/>
    <w:rsid w:val="005206EF"/>
    <w:rsid w:val="005D7059"/>
    <w:rsid w:val="005F7827"/>
    <w:rsid w:val="006C0636"/>
    <w:rsid w:val="00727978"/>
    <w:rsid w:val="00733B17"/>
    <w:rsid w:val="007A7CEE"/>
    <w:rsid w:val="007D5F5A"/>
    <w:rsid w:val="00870C84"/>
    <w:rsid w:val="008B5354"/>
    <w:rsid w:val="008D7B94"/>
    <w:rsid w:val="0096218F"/>
    <w:rsid w:val="009D76CE"/>
    <w:rsid w:val="00A3358A"/>
    <w:rsid w:val="00B13ACE"/>
    <w:rsid w:val="00B25A7B"/>
    <w:rsid w:val="00B3346E"/>
    <w:rsid w:val="00B439EA"/>
    <w:rsid w:val="00B67975"/>
    <w:rsid w:val="00BC4466"/>
    <w:rsid w:val="00BE3AA8"/>
    <w:rsid w:val="00C52160"/>
    <w:rsid w:val="00CD3B45"/>
    <w:rsid w:val="00CF0AA7"/>
    <w:rsid w:val="00CF1133"/>
    <w:rsid w:val="00D61810"/>
    <w:rsid w:val="00D7480F"/>
    <w:rsid w:val="00DF01A0"/>
    <w:rsid w:val="00E60319"/>
    <w:rsid w:val="00F01FE2"/>
    <w:rsid w:val="00F41096"/>
    <w:rsid w:val="00F573DB"/>
    <w:rsid w:val="00F624E2"/>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F624E2"/>
    <w:rPr>
      <w:color w:val="0563C1" w:themeColor="hyperlink"/>
      <w:u w:val="single"/>
    </w:rPr>
  </w:style>
  <w:style w:type="table" w:styleId="TableGrid">
    <w:name w:val="Table Grid"/>
    <w:basedOn w:val="TableNormal"/>
    <w:uiPriority w:val="39"/>
    <w:rsid w:val="00F5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stello-smith@pres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kellett@pres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833A2-A9B5-47C8-9355-95A3C6BD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8</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Tween, Holly</cp:lastModifiedBy>
  <cp:revision>15</cp:revision>
  <dcterms:created xsi:type="dcterms:W3CDTF">2015-06-25T10:41:00Z</dcterms:created>
  <dcterms:modified xsi:type="dcterms:W3CDTF">2016-11-23T13:58:00Z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Wednesday, 30 November 2016</vt:lpwstr>
  </property>
  <property fmtid="{D5CDD505-2E9C-101B-9397-08002B2CF9AE}" pid="3" name="IssueTitle">
    <vt:lpwstr>Lancashire 'Moving On' Project: Performance and Progress</vt:lpwstr>
  </property>
  <property fmtid="{D5CDD505-2E9C-101B-9397-08002B2CF9AE}" pid="4" name="LeadOfficer">
    <vt:lpwstr>Dr M Lawty-Jones</vt:lpwstr>
  </property>
  <property fmtid="{D5CDD505-2E9C-101B-9397-08002B2CF9AE}" pid="5" name="LeadOfficerTel">
    <vt:lpwstr>Tel: 07740 248800</vt:lpwstr>
  </property>
  <property fmtid="{D5CDD505-2E9C-101B-9397-08002B2CF9AE}" pid="6" name="LeadOfficerEmail">
    <vt:lpwstr>Michele.Lawty-Jones@lancashire.gov.uk</vt:lpwstr>
  </property>
  <property fmtid="{D5CDD505-2E9C-101B-9397-08002B2CF9AE}" pid="7" name="CommitteeName">
    <vt:lpwstr>LEP - Lancashire Skills and Employment Board</vt:lpwstr>
  </property>
</Properties>
</file>